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0001502299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Arhaus,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001-41009</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51 EAST HINES HILL ROAD</w:t>
              <w:br/>
              <w:t>BOSTON HEIGHTS</w:t>
              <w:br/>
              <w:t xml:space="preserve">OHIO </w:t>
              <w:br/>
              <w:t>44236</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440-439-7700</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Doody Alton F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245 Summer Street</w:t>
              <w:br/>
              <w:t>Boston   MA   02110</w:t>
            </w:r>
          </w:p>
        </w:tc>
        <w:tc>
          <w:tcPr>
            <w:tcW w:w="1171" w:type="dxa"/>
            <w:tcBorders/>
            <w:vAlign w:val="center"/>
          </w:tcPr>
          <w:p>
            <w:pPr>
              <w:pStyle w:val="TableContents"/>
              <w:bidi w:val="0"/>
              <w:spacing w:before="0" w:after="283"/>
              <w:jc w:val="left"/>
              <w:rPr/>
            </w:pPr>
            <w:r>
              <w:rPr/>
              <w:t>3500</w:t>
            </w:r>
          </w:p>
        </w:tc>
        <w:tc>
          <w:tcPr>
            <w:tcW w:w="1380" w:type="dxa"/>
            <w:tcBorders/>
            <w:vAlign w:val="center"/>
          </w:tcPr>
          <w:p>
            <w:pPr>
              <w:pStyle w:val="TableContents"/>
              <w:bidi w:val="0"/>
              <w:spacing w:before="0" w:after="283"/>
              <w:jc w:val="left"/>
              <w:rPr/>
            </w:pPr>
            <w:r>
              <w:rPr/>
              <w:t>30222.50</w:t>
            </w:r>
          </w:p>
        </w:tc>
        <w:tc>
          <w:tcPr>
            <w:tcW w:w="1555" w:type="dxa"/>
            <w:tcBorders/>
            <w:vAlign w:val="center"/>
          </w:tcPr>
          <w:p>
            <w:pPr>
              <w:pStyle w:val="TableContents"/>
              <w:bidi w:val="0"/>
              <w:spacing w:before="0" w:after="283"/>
              <w:jc w:val="left"/>
              <w:rPr/>
            </w:pPr>
            <w:r>
              <w:rPr/>
              <w:t>54636133</w:t>
            </w:r>
          </w:p>
        </w:tc>
        <w:tc>
          <w:tcPr>
            <w:tcW w:w="1569" w:type="dxa"/>
            <w:tcBorders/>
            <w:vAlign w:val="center"/>
          </w:tcPr>
          <w:p>
            <w:pPr>
              <w:pStyle w:val="TableContents"/>
              <w:bidi w:val="0"/>
              <w:spacing w:before="0" w:after="283"/>
              <w:jc w:val="left"/>
              <w:rPr/>
            </w:pPr>
            <w:r>
              <w:rPr/>
              <w:t>09/04/2026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09/13/2022</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Stock exchange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09/13/2022</w:t>
            </w:r>
          </w:p>
        </w:tc>
        <w:tc>
          <w:tcPr>
            <w:tcW w:w="1237" w:type="dxa"/>
            <w:tcBorders/>
            <w:vAlign w:val="center"/>
          </w:tcPr>
          <w:p>
            <w:pPr>
              <w:pStyle w:val="TableContents"/>
              <w:bidi w:val="0"/>
              <w:spacing w:before="0" w:after="283"/>
              <w:jc w:val="left"/>
              <w:rPr/>
            </w:pPr>
            <w:r>
              <w:rPr/>
              <w:t>cash/check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0"/>
        <w:gridCol w:w="8445"/>
      </w:tblGrid>
      <w:tr>
        <w:trPr/>
        <w:tc>
          <w:tcPr>
            <w:tcW w:w="1760" w:type="dxa"/>
            <w:tcBorders/>
            <w:vAlign w:val="center"/>
          </w:tcPr>
          <w:p>
            <w:pPr>
              <w:pStyle w:val="TableContents"/>
              <w:bidi w:val="0"/>
              <w:spacing w:before="0" w:after="283"/>
              <w:jc w:val="left"/>
              <w:rPr/>
            </w:pPr>
            <w:r>
              <w:rPr/>
              <w:t>Remarks</w:t>
            </w:r>
          </w:p>
        </w:tc>
        <w:tc>
          <w:tcPr>
            <w:tcW w:w="844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Date of Notice</w:t>
            </w:r>
          </w:p>
        </w:tc>
        <w:tc>
          <w:tcPr>
            <w:tcW w:w="8445"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0" w:type="dxa"/>
            <w:tcBorders/>
            <w:vAlign w:val="center"/>
          </w:tcPr>
          <w:p>
            <w:pPr>
              <w:pStyle w:val="TableContents"/>
              <w:bidi w:val="0"/>
              <w:spacing w:before="0" w:after="283"/>
              <w:jc w:val="left"/>
              <w:rPr/>
            </w:pPr>
            <w:r>
              <w:rPr/>
              <w:t>Signature</w:t>
            </w:r>
          </w:p>
        </w:tc>
        <w:tc>
          <w:tcPr>
            <w:tcW w:w="8445" w:type="dxa"/>
            <w:tcBorders/>
            <w:vAlign w:val="center"/>
          </w:tcPr>
          <w:p>
            <w:pPr>
              <w:pStyle w:val="TableContents"/>
              <w:bidi w:val="0"/>
              <w:spacing w:before="0" w:after="0"/>
              <w:jc w:val="left"/>
              <w:rPr/>
            </w:pPr>
            <w:r>
              <w:rPr/>
              <w:t>/s/ Audrey Skillern as a duly authorized representative of Fidelity Brokerage Services LLC, as attorney-in-fact for Alton Doody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2964</Characters>
  <CharactersWithSpaces>3497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