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9"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7" w:lineRule="exact"/>
        <w:rPr>
          <w:sz w:val="24"/>
          <w:szCs w:val="24"/>
          <w:color w:val="auto"/>
        </w:rPr>
      </w:pPr>
    </w:p>
    <w:p>
      <w:pPr>
        <w:ind w:left="80"/>
        <w:spacing w:after="0" w:line="221" w:lineRule="exact"/>
        <w:rPr>
          <w:sz w:val="20"/>
          <w:szCs w:val="20"/>
          <w:color w:val="auto"/>
        </w:rPr>
      </w:pPr>
      <w:r>
        <w:rPr>
          <w:rFonts w:ascii="MS PGothic" w:cs="MS PGothic" w:eastAsia="MS PGothic" w:hAnsi="MS PGothic"/>
          <w:sz w:val="22"/>
          <w:szCs w:val="22"/>
          <w:color w:val="auto"/>
        </w:rPr>
        <w:t>☐</w:t>
      </w:r>
    </w:p>
    <w:p>
      <w:pPr>
        <w:spacing w:after="0" w:line="141" w:lineRule="exact"/>
        <w:rPr>
          <w:sz w:val="24"/>
          <w:szCs w:val="24"/>
          <w:color w:val="auto"/>
        </w:rPr>
      </w:pPr>
    </w:p>
    <w:p>
      <w:pPr>
        <w:ind w:left="500" w:right="1680" w:hanging="69"/>
        <w:spacing w:after="0" w:line="533"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Arhaus,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87-1729256</w:t>
            </w:r>
          </w:p>
        </w:tc>
        <w:tc>
          <w:tcPr>
            <w:tcW w:w="0" w:type="dxa"/>
            <w:vAlign w:val="bottom"/>
          </w:tcPr>
          <w:p>
            <w:pPr>
              <w:spacing w:after="0"/>
              <w:rPr>
                <w:sz w:val="1"/>
                <w:szCs w:val="1"/>
                <w:color w:val="auto"/>
              </w:rPr>
            </w:pPr>
          </w:p>
        </w:tc>
      </w:tr>
      <w:tr>
        <w:trPr>
          <w:trHeight w:val="284"/>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56"/>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08"/>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3"/>
          </w:tcPr>
          <w:p>
            <w:pPr>
              <w:jc w:val="center"/>
              <w:ind w:right="3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44236</w:t>
            </w:r>
          </w:p>
        </w:tc>
        <w:tc>
          <w:tcPr>
            <w:tcW w:w="6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(440) 439-7700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700" w:type="dxa"/>
            <w:vAlign w:val="bottom"/>
            <w:gridSpan w:val="4"/>
          </w:tcPr>
          <w:p>
            <w:pPr>
              <w:jc w:val="center"/>
              <w:ind w:righ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05"/>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 A common stock, $0.001 par value per</w:t>
            </w:r>
          </w:p>
        </w:tc>
        <w:tc>
          <w:tcPr>
            <w:tcW w:w="360" w:type="dxa"/>
            <w:vAlign w:val="bottom"/>
            <w:shd w:val="clear" w:color="auto" w:fill="CCEEFF"/>
          </w:tcPr>
          <w:p>
            <w:pPr>
              <w:spacing w:after="0"/>
              <w:rPr>
                <w:sz w:val="14"/>
                <w:szCs w:val="14"/>
                <w:color w:val="auto"/>
              </w:rPr>
            </w:pPr>
          </w:p>
        </w:tc>
        <w:tc>
          <w:tcPr>
            <w:tcW w:w="2020" w:type="dxa"/>
            <w:vAlign w:val="bottom"/>
            <w:tcBorders>
              <w:right w:val="single" w:sz="8" w:color="auto"/>
            </w:tcBorders>
            <w:vMerge w:val="restart"/>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ARHS</w:t>
            </w:r>
          </w:p>
        </w:tc>
        <w:tc>
          <w:tcPr>
            <w:tcW w:w="620" w:type="dxa"/>
            <w:vAlign w:val="bottom"/>
            <w:shd w:val="clear" w:color="auto" w:fill="CCEEFF"/>
          </w:tcPr>
          <w:p>
            <w:pPr>
              <w:spacing w:after="0"/>
              <w:rPr>
                <w:sz w:val="14"/>
                <w:szCs w:val="14"/>
                <w:color w:val="auto"/>
              </w:rPr>
            </w:pPr>
          </w:p>
        </w:tc>
        <w:tc>
          <w:tcPr>
            <w:tcW w:w="4700" w:type="dxa"/>
            <w:vAlign w:val="bottom"/>
            <w:tcBorders>
              <w:right w:val="single" w:sz="8" w:color="auto"/>
            </w:tcBorders>
            <w:shd w:val="clear" w:color="auto" w:fill="CCEEFF"/>
          </w:tcPr>
          <w:p>
            <w:pPr>
              <w:jc w:val="center"/>
              <w:ind w:right="550"/>
              <w:spacing w:after="0" w:line="169"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60" w:type="dxa"/>
            <w:vAlign w:val="bottom"/>
            <w:shd w:val="clear" w:color="auto" w:fill="CCEEFF"/>
          </w:tcPr>
          <w:p>
            <w:pPr>
              <w:spacing w:after="0"/>
              <w:rPr>
                <w:sz w:val="12"/>
                <w:szCs w:val="12"/>
                <w:color w:val="auto"/>
              </w:rPr>
            </w:pPr>
          </w:p>
        </w:tc>
        <w:tc>
          <w:tcPr>
            <w:tcW w:w="2020" w:type="dxa"/>
            <w:vAlign w:val="bottom"/>
            <w:tcBorders>
              <w:right w:val="single" w:sz="8" w:color="auto"/>
            </w:tcBorders>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7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20" w:type="dxa"/>
            <w:vAlign w:val="bottom"/>
            <w:tcBorders>
              <w:bottom w:val="single" w:sz="8" w:color="auto"/>
              <w:right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4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2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jc w:val="both"/>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5" w:right="319" w:bottom="133" w:gutter="0" w:footer="0" w:header="0"/>
        </w:sectPr>
      </w:pPr>
    </w:p>
    <w:bookmarkStart w:id="1" w:name="page2"/>
    <w:bookmarkEnd w:id="1"/>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3"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 registrant had 55,084,654 shares of Class A common stock and 86,671,140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80" w:type="dxa"/>
            <w:vAlign w:val="bottom"/>
            <w:tcBorders>
              <w:bottom w:val="single" w:sz="8" w:color="CCEEFF"/>
            </w:tcBorders>
            <w:gridSpan w:val="12"/>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12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2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2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04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60" w:type="dxa"/>
            <w:vAlign w:val="bottom"/>
            <w:gridSpan w:val="2"/>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8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of Arhaus, Inc. and Subsidiaries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Restricted cash</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Merchandise inventory,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r>
      <w:tr>
        <w:trPr>
          <w:trHeight w:val="23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Total current assets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621,374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Operating right-of-use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391,274</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Financing right-of-use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furniture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tax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noncurrent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1,394,746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536" w:right="39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7"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231F20"/>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other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Total current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Financing lease liabilities, long-term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1" w:lineRule="exact"/>
        <w:rPr>
          <w:sz w:val="20"/>
          <w:szCs w:val="20"/>
          <w:color w:val="auto"/>
        </w:rPr>
      </w:pPr>
    </w:p>
    <w:p>
      <w:pPr>
        <w:ind w:left="360"/>
        <w:spacing w:after="0"/>
        <w:tabs>
          <w:tab w:leader="none" w:pos="7640" w:val="left"/>
        </w:tabs>
        <w:rPr>
          <w:sz w:val="20"/>
          <w:szCs w:val="20"/>
          <w:color w:val="auto"/>
        </w:rPr>
      </w:pPr>
      <w:r>
        <w:rPr>
          <w:rFonts w:ascii="Times New Roman" w:cs="Times New Roman" w:eastAsia="Times New Roman" w:hAnsi="Times New Roman"/>
          <w:sz w:val="18"/>
          <w:szCs w:val="18"/>
          <w:color w:val="231F20"/>
        </w:rPr>
        <w:t>Total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Commitments and contingencies (Note 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Stockholders’ equity</w:t>
      </w:r>
    </w:p>
    <w:p>
      <w:pPr>
        <w:spacing w:after="0" w:line="23" w:lineRule="exact"/>
        <w:rPr>
          <w:sz w:val="20"/>
          <w:szCs w:val="20"/>
          <w:color w:val="auto"/>
        </w:rPr>
      </w:pPr>
    </w:p>
    <w:p>
      <w:pPr>
        <w:ind w:left="20" w:right="280"/>
        <w:spacing w:after="0" w:line="204" w:lineRule="auto"/>
        <w:rPr>
          <w:sz w:val="20"/>
          <w:szCs w:val="20"/>
          <w:color w:val="auto"/>
        </w:rPr>
      </w:pPr>
      <w:r>
        <w:rPr>
          <w:rFonts w:ascii="Times New Roman" w:cs="Times New Roman" w:eastAsia="Times New Roman" w:hAnsi="Times New Roman"/>
          <w:sz w:val="18"/>
          <w:szCs w:val="18"/>
          <w:color w:val="auto"/>
        </w:rPr>
        <w:t>Class A shares, par value $0.001 per share (600,000,000 shares authorized, 55,469,464 shares issued and 54,637,146 outstanding as of September 30, 2026; 54,565,242 shares issued and 53,969,149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09803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3600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7" w:lineRule="exact"/>
        <w:rPr>
          <w:sz w:val="20"/>
          <w:szCs w:val="20"/>
          <w:color w:val="auto"/>
        </w:rPr>
      </w:pPr>
    </w:p>
    <w:p>
      <w:pPr>
        <w:ind w:left="20" w:right="300"/>
        <w:spacing w:after="0" w:line="216" w:lineRule="auto"/>
        <w:rPr>
          <w:sz w:val="20"/>
          <w:szCs w:val="20"/>
          <w:color w:val="auto"/>
        </w:rPr>
      </w:pPr>
      <w:r>
        <w:rPr>
          <w:rFonts w:ascii="Times New Roman" w:cs="Times New Roman" w:eastAsia="Times New Roman" w:hAnsi="Times New Roman"/>
          <w:sz w:val="17"/>
          <w:szCs w:val="17"/>
          <w:color w:val="auto"/>
        </w:rPr>
        <w:t>Class B shares, par value $0.001 per share (100,000,000 shares authorized, 87,115,600 shares issued and outstanding as of September 30, 2026; 87,115,600 shares issued and outstanding as of December 31,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71,581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78,360</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8,366</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28,164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29"/>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50,944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324,988</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235,943</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63,295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976</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2"/>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548,314</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453,262</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508,555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467,226</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51,692</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52,374</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4,983</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37"/>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1,113,544</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-170815</wp:posOffset>
            </wp:positionV>
            <wp:extent cx="1097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-770890</wp:posOffset>
            </wp:positionV>
            <wp:extent cx="1097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562"/>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210,020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210,365</w:t>
            </w:r>
          </w:p>
        </w:tc>
      </w:tr>
      <w:tr>
        <w:trPr>
          <w:trHeight w:val="232"/>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215,032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207,722</w:t>
            </w:r>
          </w:p>
        </w:tc>
      </w:tr>
    </w:tbl>
    <w:p>
      <w:pPr>
        <w:spacing w:after="0" w:line="1" w:lineRule="exact"/>
        <w:rPr>
          <w:sz w:val="20"/>
          <w:szCs w:val="20"/>
          <w:color w:val="auto"/>
        </w:rPr>
      </w:pPr>
    </w:p>
    <w:p>
      <w:pPr>
        <w:sectPr>
          <w:pgSz w:w="11900" w:h="16838" w:orient="portrait"/>
          <w:cols w:equalWidth="0" w:num="2">
            <w:col w:w="7860" w:space="720"/>
            <w:col w:w="2600"/>
          </w:cols>
          <w:pgMar w:left="320" w:top="536" w:right="39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425,194</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418,228</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1,538,738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1,394,746</w:t>
            </w:r>
          </w:p>
        </w:tc>
      </w:tr>
      <w:tr>
        <w:trPr>
          <w:trHeight w:val="20"/>
        </w:trPr>
        <w:tc>
          <w:tcPr>
            <w:tcW w:w="7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Pr>
          <w:p>
            <w:pPr>
              <w:spacing w:after="0"/>
              <w:rPr>
                <w:sz w:val="19"/>
                <w:szCs w:val="19"/>
                <w:color w:val="auto"/>
              </w:rPr>
            </w:pPr>
          </w:p>
        </w:tc>
        <w:tc>
          <w:tcPr>
            <w:tcW w:w="30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344,570</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636,361</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211,149</w:t>
            </w:r>
          </w:p>
        </w:tc>
      </w:tr>
      <w:tr>
        <w:trPr>
          <w:trHeight w:val="22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basic</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84"/>
        </w:trPr>
        <w:tc>
          <w:tcPr>
            <w:tcW w:w="42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basic</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141,353,368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140,635,317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141,619,661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140,829,409</w:t>
            </w: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4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diluted</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3"/>
        </w:trPr>
        <w:tc>
          <w:tcPr>
            <w:tcW w:w="420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diluted</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141,943,580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141,310,742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142,275,176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141,676,722</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53,905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210,365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207,722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418,228</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49,688</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(49,524)</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54,638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210,020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215,032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425,194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2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53,289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142,898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200,707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343,745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52,166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52,166</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195,266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205,009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400,416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71" w:right="499" w:bottom="1440" w:gutter="0" w:footer="0" w:header="0"/>
        </w:sectPr>
      </w:pPr>
    </w:p>
    <w:bookmarkStart w:id="6" w:name="page7"/>
    <w:bookmarkEnd w:id="6"/>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jc w:val="center"/>
              <w:ind w:left="72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202,037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212,768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414,947</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54,638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210,020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215,032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425,194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jc w:val="center"/>
              <w:ind w:left="72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
        </w:trPr>
        <w:tc>
          <w:tcPr>
            <w:tcW w:w="2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53,787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183,047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202,425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385,613</w:t>
            </w:r>
          </w:p>
        </w:tc>
        <w:tc>
          <w:tcPr>
            <w:tcW w:w="0" w:type="dxa"/>
            <w:vAlign w:val="bottom"/>
          </w:tcPr>
          <w:p>
            <w:pPr>
              <w:spacing w:after="0"/>
              <w:rPr>
                <w:sz w:val="1"/>
                <w:szCs w:val="1"/>
                <w:color w:val="auto"/>
              </w:rPr>
            </w:pPr>
          </w:p>
        </w:tc>
      </w:tr>
      <w:tr>
        <w:trPr>
          <w:trHeight w:val="18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195,266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205,009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400,416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22" w:right="49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20" w:type="dxa"/>
            <w:vAlign w:val="bottom"/>
          </w:tcPr>
          <w:p>
            <w:pPr>
              <w:spacing w:after="0"/>
              <w:rPr>
                <w:sz w:val="19"/>
                <w:szCs w:val="19"/>
                <w:color w:val="auto"/>
              </w:rPr>
            </w:pPr>
          </w:p>
        </w:tc>
      </w:tr>
      <w:tr>
        <w:trPr>
          <w:trHeight w:val="238"/>
        </w:trPr>
        <w:tc>
          <w:tcPr>
            <w:tcW w:w="76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43"/>
        </w:trPr>
        <w:tc>
          <w:tcPr>
            <w:tcW w:w="76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52,166</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34,716</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interest on operating leases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21,842</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proceeds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insurance claims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inventory</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(31,718)</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Client deposits</w:t>
            </w: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r>
      <w:tr>
        <w:trPr>
          <w:trHeight w:val="228"/>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172,960</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127,538</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(59,751)</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property, furniture and equipment</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w:t>
            </w:r>
          </w:p>
        </w:tc>
      </w:tr>
      <w:tr>
        <w:trPr>
          <w:trHeight w:val="22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under finance leases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 for payment of withholding taxes for equity based compensation</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 payments</w:t>
            </w: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8"/>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64,926</w:t>
            </w:r>
          </w:p>
        </w:tc>
      </w:tr>
      <w:tr>
        <w:trPr>
          <w:trHeight w:val="24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200,929</w:t>
            </w:r>
          </w:p>
        </w:tc>
      </w:tr>
      <w:tr>
        <w:trPr>
          <w:trHeight w:val="25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319,359</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265,855</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7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 in cash</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4"/>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property, furniture and equipment in current liabilities</w:t>
            </w: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r>
      <w:tr>
        <w:trPr>
          <w:trHeight w:val="22"/>
        </w:trPr>
        <w:tc>
          <w:tcPr>
            <w:tcW w:w="76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80"/>
          </w:cols>
          <w:pgMar w:left="320" w:top="150" w:right="3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0" w:right="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620" w:firstLine="8"/>
        <w:spacing w:after="0" w:line="46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 Nature of Business</w:t>
      </w:r>
    </w:p>
    <w:p>
      <w:pPr>
        <w:ind w:right="20"/>
        <w:spacing w:after="0" w:line="277" w:lineRule="auto"/>
        <w:rPr>
          <w:sz w:val="20"/>
          <w:szCs w:val="20"/>
          <w:color w:val="auto"/>
        </w:rPr>
      </w:pPr>
      <w:r>
        <w:rPr>
          <w:rFonts w:ascii="Times New Roman" w:cs="Times New Roman" w:eastAsia="Times New Roman" w:hAnsi="Times New Roman"/>
          <w:sz w:val="17"/>
          <w:szCs w:val="17"/>
          <w:color w:val="auto"/>
        </w:rPr>
        <w:t>Arhaus, Inc. (“Arhaus,” “Company,” “we,” “us” or “our”) is a Delaware corporation and is a premium retailer in the home furnishings market, specializing in livable luxury supported by heirloom quality merchandise. We offer merchandise across a broad range of categories, including furniture, outdoor, bath, lighting, textiles, and décor. Our curated assortments are presented across our sales channels in sophisticated, family-friendly and lifestyle-oriented settings. Showrooms are immersive, design-forward spaces that serve as an important driver of brand awareness and client engagement, while our eCommerce channel functions as a seamless extension of the physical Showroom experience. The Company operated 109 Showrooms as of September 30,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balance sheets at September 30, 2026 and December 31, 2025, the condensed consolidated statements of comprehensive income, changes in stockholders’ equity for the nine and three months ended September 30, 2026 and September 30, 2025, the condensed consolidated statements of cash flows for the nine months ended September 30, 2026 and September 30, 2025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4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management’s opinion, the accompanying condensed consolidated financial statements contain all adjustments, consisting of normal recurring adjustments, necessary for a fair statement of the Company’s financial position at September 30, 2026, the results of operations and changes in stockholders’ equity for the nine and three months ended September 30, 2026, and cash flows for the nine months ended September 30, 2026. The condensed consolidated balance sheet as of December 31, 2025 included herein was derived from audited financial statements, but does not include all disclosures required by U.S. GAAP.</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results for the nine and three months ended September 30, 2026 and September 30, 2025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February 2026, the U.S. Supreme Court issued a ruling invalidating certain tariffs previously imposed under the International Emergency Economic Powers Act (“IEEPA”). Subsequently, the U.S. Court of International Trade ruled that tariffs paid under the IEEPA must be refunded in accordance with the law. As a result, the U.S. Customs and Border Protection Agency launched a special tariff refund program to facilitate such refunds.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$37.8 million in tariff refunds and $1.3 million in interest as of September 30, 2026.</w:t>
      </w:r>
    </w:p>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and three months ended September 30, 2026, the Company recognized a benefit of $36.3 million and $12.5 million, respectively, for the recovery of IEEPA tariffs paid, primarily related to other merchandise inventory costs in cost of goods sold within the condensed consolidated statements of comprehensive income. As of September 30, 2026, the Company recorded $1.5 million related to the reduction in inventory costs in merchandise inventory, net within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Deposits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September 30, 2026 will be recognized as net revenue within the next 12 months as the performance obligations are satisfied.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September 30, 2026 and December 31, 2025 of $0.5 million and $0.6 million, respectively, is recorded in accrued other expenses within the condensed consolidated balance sheets. The Company recognizes income associated with breakage proportional to actual gift card redemptions.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September 30, 2026 and December 31, 2025. See Note 5 — </w:t>
      </w: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for discussion of our lease obligations and Note 6 —</w:t>
      </w:r>
      <w:r>
        <w:rPr>
          <w:rFonts w:ascii="Times New Roman" w:cs="Times New Roman" w:eastAsia="Times New Roman" w:hAnsi="Times New Roman"/>
          <w:sz w:val="17"/>
          <w:szCs w:val="17"/>
          <w:i w:val="1"/>
          <w:iCs w:val="1"/>
          <w:color w:val="auto"/>
        </w:rPr>
        <w:t xml:space="preserve"> Equity Based Compensation </w:t>
      </w:r>
      <w:r>
        <w:rPr>
          <w:rFonts w:ascii="Times New Roman" w:cs="Times New Roman" w:eastAsia="Times New Roman" w:hAnsi="Times New Roman"/>
          <w:sz w:val="17"/>
          <w:szCs w:val="17"/>
          <w:color w:val="auto"/>
        </w:rPr>
        <w:t>for discussion of our equity based compensation instruments.</w:t>
      </w:r>
    </w:p>
    <w:p>
      <w:pPr>
        <w:spacing w:after="0" w:line="13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1620" w:right="20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unrestricted assets and liabilities that the reporting entity has the ability to access at the measurement date.</w:t>
      </w:r>
    </w:p>
    <w:p>
      <w:pPr>
        <w:spacing w:after="0" w:line="121" w:lineRule="exact"/>
        <w:rPr>
          <w:sz w:val="20"/>
          <w:szCs w:val="20"/>
          <w:color w:val="auto"/>
        </w:rPr>
      </w:pPr>
    </w:p>
    <w:p>
      <w:pPr>
        <w:ind w:left="1620" w:right="38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35" w:lineRule="exact"/>
        <w:rPr>
          <w:sz w:val="20"/>
          <w:szCs w:val="20"/>
          <w:color w:val="auto"/>
        </w:rPr>
      </w:pPr>
    </w:p>
    <w:p>
      <w:pPr>
        <w:ind w:left="1620" w:right="14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invests in Level 1 cash and cash equivalent investments such as money market funds and interest-bearing checking accounts. For the nine</w:t>
      </w:r>
    </w:p>
    <w:p>
      <w:pPr>
        <w:spacing w:after="0" w:line="5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and three months ended September 30, 2026, the Company earned $6.6 million and $2.4 million, respectively, in interest income. For the nine and three months ended September 30, 2025, the Company earned $6.2 million and $2.2 million, respectively, in interest income. Interest income is included in interest income, net within our condensed consolidated statements of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Company’s accounts receivables are $0.3 million and $0.7 million, respectively, at September 30, 2026 and December 31, 2025, net of allowance for expected credit losses of $0.3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The Company has elected the practical expedient to assume that current conditions as of the balance sheet date do not change for the remaining life of the asset when estimating expected credit losses.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144" w:lineRule="exact"/>
        <w:rPr>
          <w:sz w:val="20"/>
          <w:szCs w:val="20"/>
          <w:color w:val="auto"/>
        </w:rPr>
      </w:pPr>
    </w:p>
    <w:p>
      <w:pPr>
        <w:ind w:right="7720" w:firstLine="8"/>
        <w:spacing w:after="0" w:line="491"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 New Accounting Standards Recently Adopted</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2025-05 — Financial Instruments — Credit Losses (Topic 326): Measurement of Credit Losses for Accounts Receivable and Contract Assets during the three months ended March 31, 2026 and has applied it prospectively. The adoption of ASU 2025-05 did not have a material impact on our accounting policies, financial position or results of operations. Refer to Note 1 — </w:t>
      </w:r>
      <w:r>
        <w:rPr>
          <w:rFonts w:ascii="Times New Roman" w:cs="Times New Roman" w:eastAsia="Times New Roman" w:hAnsi="Times New Roman"/>
          <w:sz w:val="18"/>
          <w:szCs w:val="18"/>
          <w:i w:val="1"/>
          <w:iCs w:val="1"/>
          <w:color w:val="auto"/>
        </w:rPr>
        <w:t>Nature of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for disclosures required by this ASU.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accounting pronouncements which we have not yet adopted but will be adopted in upcoming fiscal years. ASU 2024-03 and the related ASU 2025-01 are effective for annual periods beginning after December 15, 2026. We are evaluating the impact these pronouncements will have on our consolidated financial statements and related disclosures. ASU 2025-06 is effective for annual periods beginning after December 15, 2027. We are evaluating the impact ASU 2025-06 will have on our consolidated financial statements and related disclosures.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ASU</w:t>
            </w:r>
          </w:p>
        </w:tc>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Adoption Date</w:t>
            </w:r>
          </w:p>
        </w:tc>
      </w:tr>
      <w:tr>
        <w:trPr>
          <w:trHeight w:val="211"/>
        </w:trPr>
        <w:tc>
          <w:tcPr>
            <w:tcW w:w="1280" w:type="dxa"/>
            <w:vAlign w:val="bottom"/>
            <w:shd w:val="clear" w:color="auto" w:fill="CCEEFF"/>
          </w:tcPr>
          <w:p>
            <w:pPr>
              <w:spacing w:after="0"/>
              <w:rPr>
                <w:sz w:val="18"/>
                <w:szCs w:val="18"/>
                <w:color w:val="auto"/>
              </w:rPr>
            </w:pPr>
          </w:p>
        </w:tc>
        <w:tc>
          <w:tcPr>
            <w:tcW w:w="794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8"/>
                <w:szCs w:val="18"/>
                <w:color w:val="auto"/>
              </w:rPr>
              <w:t>Income Statement</w:t>
            </w:r>
            <w:r>
              <w:rPr>
                <w:rFonts w:ascii="Arial" w:cs="Arial" w:eastAsia="Arial" w:hAnsi="Arial"/>
                <w:sz w:val="21"/>
                <w:szCs w:val="21"/>
                <w:color w:val="auto"/>
              </w:rPr>
              <w:t>—</w:t>
            </w:r>
            <w:r>
              <w:rPr>
                <w:rFonts w:ascii="Times New Roman" w:cs="Times New Roman" w:eastAsia="Times New Roman" w:hAnsi="Times New Roman"/>
                <w:sz w:val="18"/>
                <w:szCs w:val="18"/>
                <w:color w:val="auto"/>
              </w:rPr>
              <w:t>Reporting Comprehensive Income</w:t>
            </w:r>
            <w:r>
              <w:rPr>
                <w:rFonts w:ascii="Arial" w:cs="Arial" w:eastAsia="Arial" w:hAnsi="Arial"/>
                <w:sz w:val="21"/>
                <w:szCs w:val="21"/>
                <w:color w:val="auto"/>
              </w:rPr>
              <w:t>—</w:t>
            </w:r>
            <w:r>
              <w:rPr>
                <w:rFonts w:ascii="Times New Roman" w:cs="Times New Roman" w:eastAsia="Times New Roman" w:hAnsi="Times New Roman"/>
                <w:sz w:val="18"/>
                <w:szCs w:val="18"/>
                <w:color w:val="auto"/>
              </w:rPr>
              <w:t>Expense Disaggregation Disclosures (Subtopic</w:t>
            </w:r>
          </w:p>
        </w:tc>
        <w:tc>
          <w:tcPr>
            <w:tcW w:w="2020" w:type="dxa"/>
            <w:vAlign w:val="bottom"/>
            <w:shd w:val="clear" w:color="auto" w:fill="CCEEFF"/>
          </w:tcPr>
          <w:p>
            <w:pPr>
              <w:spacing w:after="0"/>
              <w:rPr>
                <w:sz w:val="18"/>
                <w:szCs w:val="18"/>
                <w:color w:val="auto"/>
              </w:rPr>
            </w:pPr>
          </w:p>
        </w:tc>
      </w:tr>
      <w:tr>
        <w:trPr>
          <w:trHeight w:val="23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2024-03</w:t>
            </w:r>
          </w:p>
        </w:tc>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220-40): Disaggregation of Income Statement Expenses</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Fiscal Year 2027</w:t>
            </w:r>
          </w:p>
        </w:tc>
      </w:tr>
      <w:tr>
        <w:trPr>
          <w:trHeight w:val="211"/>
        </w:trPr>
        <w:tc>
          <w:tcPr>
            <w:tcW w:w="1280" w:type="dxa"/>
            <w:vAlign w:val="bottom"/>
          </w:tcPr>
          <w:p>
            <w:pPr>
              <w:spacing w:after="0"/>
              <w:rPr>
                <w:sz w:val="18"/>
                <w:szCs w:val="18"/>
                <w:color w:val="auto"/>
              </w:rPr>
            </w:pPr>
          </w:p>
        </w:tc>
        <w:tc>
          <w:tcPr>
            <w:tcW w:w="7940" w:type="dxa"/>
            <w:vAlign w:val="bottom"/>
          </w:tcPr>
          <w:p>
            <w:pPr>
              <w:ind w:left="240"/>
              <w:spacing w:after="0" w:line="212" w:lineRule="exact"/>
              <w:rPr>
                <w:sz w:val="20"/>
                <w:szCs w:val="20"/>
                <w:color w:val="auto"/>
              </w:rPr>
            </w:pPr>
            <w:r>
              <w:rPr>
                <w:rFonts w:ascii="Times New Roman" w:cs="Times New Roman" w:eastAsia="Times New Roman" w:hAnsi="Times New Roman"/>
                <w:sz w:val="18"/>
                <w:szCs w:val="18"/>
                <w:color w:val="auto"/>
              </w:rPr>
              <w:t>Income Statement</w:t>
            </w:r>
            <w:r>
              <w:rPr>
                <w:rFonts w:ascii="Arial" w:cs="Arial" w:eastAsia="Arial" w:hAnsi="Arial"/>
                <w:sz w:val="21"/>
                <w:szCs w:val="21"/>
                <w:color w:val="auto"/>
              </w:rPr>
              <w:t>—</w:t>
            </w:r>
            <w:r>
              <w:rPr>
                <w:rFonts w:ascii="Times New Roman" w:cs="Times New Roman" w:eastAsia="Times New Roman" w:hAnsi="Times New Roman"/>
                <w:sz w:val="18"/>
                <w:szCs w:val="18"/>
                <w:color w:val="auto"/>
              </w:rPr>
              <w:t>Reporting Comprehensive Income</w:t>
            </w:r>
            <w:r>
              <w:rPr>
                <w:rFonts w:ascii="Arial" w:cs="Arial" w:eastAsia="Arial" w:hAnsi="Arial"/>
                <w:sz w:val="21"/>
                <w:szCs w:val="21"/>
                <w:color w:val="auto"/>
              </w:rPr>
              <w:t>—</w:t>
            </w:r>
            <w:r>
              <w:rPr>
                <w:rFonts w:ascii="Times New Roman" w:cs="Times New Roman" w:eastAsia="Times New Roman" w:hAnsi="Times New Roman"/>
                <w:sz w:val="18"/>
                <w:szCs w:val="18"/>
                <w:color w:val="auto"/>
              </w:rPr>
              <w:t>Expense Disaggregation Disclosures (Subtopic</w:t>
            </w:r>
          </w:p>
        </w:tc>
        <w:tc>
          <w:tcPr>
            <w:tcW w:w="2020" w:type="dxa"/>
            <w:vAlign w:val="bottom"/>
          </w:tcPr>
          <w:p>
            <w:pPr>
              <w:spacing w:after="0"/>
              <w:rPr>
                <w:sz w:val="18"/>
                <w:szCs w:val="18"/>
                <w:color w:val="auto"/>
              </w:rPr>
            </w:pPr>
          </w:p>
        </w:tc>
      </w:tr>
      <w:tr>
        <w:trPr>
          <w:trHeight w:val="2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 2025-01</w:t>
            </w:r>
          </w:p>
        </w:tc>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220-40): Clarifying the Effective Date</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 2027</w:t>
            </w:r>
          </w:p>
        </w:tc>
      </w:tr>
      <w:tr>
        <w:trPr>
          <w:trHeight w:val="184"/>
        </w:trPr>
        <w:tc>
          <w:tcPr>
            <w:tcW w:w="1280" w:type="dxa"/>
            <w:vAlign w:val="bottom"/>
            <w:shd w:val="clear" w:color="auto" w:fill="CCEEFF"/>
          </w:tcPr>
          <w:p>
            <w:pPr>
              <w:spacing w:after="0"/>
              <w:rPr>
                <w:sz w:val="16"/>
                <w:szCs w:val="16"/>
                <w:color w:val="auto"/>
              </w:rPr>
            </w:pPr>
          </w:p>
        </w:tc>
        <w:tc>
          <w:tcPr>
            <w:tcW w:w="79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Intangibles—Goodwill and Other—Internal Use Software (Subtopic 350-40): Targeted Improvements to</w:t>
            </w:r>
          </w:p>
        </w:tc>
        <w:tc>
          <w:tcPr>
            <w:tcW w:w="2020" w:type="dxa"/>
            <w:vAlign w:val="bottom"/>
            <w:shd w:val="clear" w:color="auto" w:fill="CCEEFF"/>
          </w:tcPr>
          <w:p>
            <w:pPr>
              <w:spacing w:after="0"/>
              <w:rPr>
                <w:sz w:val="16"/>
                <w:szCs w:val="16"/>
                <w:color w:val="auto"/>
              </w:rPr>
            </w:pPr>
          </w:p>
        </w:tc>
      </w:tr>
      <w:tr>
        <w:trPr>
          <w:trHeight w:val="234"/>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2025-06</w:t>
            </w:r>
          </w:p>
        </w:tc>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Accounting for Internal-Use Software</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Fiscal Year 2028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Merchandise Warranties</w:t>
      </w:r>
    </w:p>
    <w:p>
      <w:pPr>
        <w:spacing w:after="0" w:line="20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28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8,057</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3,615</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(3,324)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(3,445)</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end of the period</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8,227</w:t>
            </w:r>
          </w:p>
        </w:tc>
      </w:tr>
      <w:tr>
        <w:trPr>
          <w:trHeight w:val="21"/>
        </w:trPr>
        <w:tc>
          <w:tcPr>
            <w:tcW w:w="4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recorded accruals in cost of goods sold within the condensed consolidated statements of comprehensive income during the periods presented in the table above, primarily to reflect charges that relate to warranties issued during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whereas the applicable margin is adjusted quarterly based on the Company’s consolidated rent-adjusted total leverage ratio.</w:t>
      </w:r>
    </w:p>
    <w:p>
      <w:pPr>
        <w:spacing w:after="0" w:line="1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September 30, 2025).</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May 2025, the Company issued an irrevocable standby letter of credit under the 2021 Credit Facility in the amount of $5.1 million in connection with a lease, which remained outstanding at September 30, 2026.</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the Company has incurred approximately $0.2 million in debt issuance costs. The 2021 Credit Facility bears variable interest rates at the prevailing Term Secured Overnight Financing Rate plus the applicable margin (1.75% at September 30, 2026).</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we had no borrowings on the 2021 Credit Facility and the available borrowing capacity was $69.9 million and $69.9 million, respectively. Deferred financing costs related to the 2021 Credit Facility of $0.3 million and $0.3 million as of September 30, 2026 and December 31, 2025, respectively, are recorded in other noncurrent assets within the condensed consolidated balance sheets and will be amortized over the term of the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Credit Facility on a straight-line basis. Accumulated amortization related to deferred financing costs for the 2021 Credit Facility was $0.3 million as of September 30, 2026 and $0.3 million as of December 31, 2025.</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debt covenants at September 30, 2026 and December 31, 2025, and expects to remain in compliance over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8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costs. Depending on particular Showroom leases, the Company can also owe a percentage rent payment if particular Showrooms meet certain sales figures.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recognized within our condensed consolidated balance sheets related to leases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Classification</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46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391,274</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4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467,226</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527,341</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52,374</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53,236</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580,577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recognized within our condensed consolidated statements of comprehensive income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28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61,103</w:t>
            </w:r>
          </w:p>
        </w:tc>
        <w:tc>
          <w:tcPr>
            <w:tcW w:w="8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Amortization of right-of-use assets</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4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expense on lease liabilities</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9"/>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(3)</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 term lease costs</w:t>
            </w:r>
            <w:r>
              <w:rPr>
                <w:rFonts w:ascii="Times New Roman" w:cs="Times New Roman" w:eastAsia="Times New Roman" w:hAnsi="Times New Roman"/>
                <w:sz w:val="23"/>
                <w:szCs w:val="23"/>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100,117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31,375</w:t>
            </w:r>
          </w:p>
        </w:tc>
      </w:tr>
      <w:tr>
        <w:trPr>
          <w:trHeight w:val="21"/>
        </w:trPr>
        <w:tc>
          <w:tcPr>
            <w:tcW w:w="4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340" w:firstLine="8"/>
        <w:spacing w:after="0" w:line="243" w:lineRule="auto"/>
        <w:tabs>
          <w:tab w:leader="none" w:pos="145"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lease costs and amortization of finance lease right-of-use assets are included in cost of goods sold or selling, general and administrative expenses on the condensed consolidated statements of comprehensive income based on our accounting policy.</w:t>
      </w:r>
    </w:p>
    <w:p>
      <w:pPr>
        <w:ind w:left="160" w:hanging="152"/>
        <w:spacing w:after="0" w:line="192" w:lineRule="auto"/>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interest income, net on the condensed consolidated statements of comprehensive income.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20" w:firstLine="8"/>
        <w:spacing w:after="0" w:line="255"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ind w:right="240" w:firstLine="8"/>
        <w:spacing w:after="0" w:line="249"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leases with an initial term of 12 months or less which are not recorded on the balance sheet and instead expensed on a straight-line basis over the lease term, excluding expenses relating to leases with a lease term of one month or less.</w:t>
      </w:r>
    </w:p>
    <w:p>
      <w:pPr>
        <w:spacing w:after="0" w:line="16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764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bl>
    <w:p>
      <w:pPr>
        <w:spacing w:after="0" w:line="2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readily determinable,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6"/>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5.83 %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3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9.70 %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0" w:type="dxa"/>
            <w:vAlign w:val="bottom"/>
          </w:tcPr>
          <w:p>
            <w:pPr>
              <w:spacing w:after="0"/>
              <w:rPr>
                <w:sz w:val="1"/>
                <w:szCs w:val="1"/>
                <w:color w:val="auto"/>
              </w:rPr>
            </w:pPr>
          </w:p>
        </w:tc>
      </w:tr>
      <w:tr>
        <w:trPr>
          <w:trHeight w:val="481"/>
        </w:trPr>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lease liabilities at September 30, 2026 are as follows (amounts in thousands):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4"/>
                <w:szCs w:val="24"/>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2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Total Lease</w:t>
            </w:r>
          </w:p>
        </w:tc>
        <w:tc>
          <w:tcPr>
            <w:tcW w:w="0" w:type="dxa"/>
            <w:vAlign w:val="bottom"/>
          </w:tcPr>
          <w:p>
            <w:pPr>
              <w:spacing w:after="0"/>
              <w:rPr>
                <w:sz w:val="1"/>
                <w:szCs w:val="1"/>
                <w:color w:val="auto"/>
              </w:rPr>
            </w:pPr>
          </w:p>
        </w:tc>
      </w:tr>
      <w:tr>
        <w:trPr>
          <w:trHeight w:val="243"/>
        </w:trPr>
        <w:tc>
          <w:tcPr>
            <w:tcW w:w="5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center"/>
              <w:ind w:right="24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Liabilities </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101,586</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90,261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95,975</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87,667</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77,125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82,869</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290,713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384,467</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746,425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869,651</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(174,575)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7"/>
              </w:rPr>
              <w:t>(70,558)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(245,133)</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571,850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624,518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has entered into leases for Showrooms and equipment which have not yet commenced with expected lease terms ranging from 10 to 12 years. The aggregate minimum rental payments over the term of the leases of approximately $166.2 million are not included in the above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(amounts in thousands):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7"/>
        </w:trPr>
        <w:tc>
          <w:tcPr>
            <w:tcW w:w="764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24"/>
                <w:szCs w:val="24"/>
                <w:color w:val="auto"/>
              </w:rPr>
            </w:pPr>
          </w:p>
        </w:tc>
      </w:tr>
      <w:tr>
        <w:trPr>
          <w:trHeight w:val="238"/>
        </w:trPr>
        <w:tc>
          <w:tcPr>
            <w:tcW w:w="7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64,838</w:t>
            </w:r>
          </w:p>
        </w:tc>
        <w:tc>
          <w:tcPr>
            <w:tcW w:w="10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72,669</w:t>
            </w:r>
          </w:p>
        </w:tc>
        <w:tc>
          <w:tcPr>
            <w:tcW w:w="10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Based Compensation</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Activity of the Company’s Restricted Stock and their related equity based compensation expense are summarized in the following tables (amounts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Restricted Stock - Class A</w:t>
            </w:r>
          </w:p>
        </w:tc>
        <w:tc>
          <w:tcPr>
            <w:tcW w:w="0" w:type="dxa"/>
            <w:vAlign w:val="bottom"/>
          </w:tcPr>
          <w:p>
            <w:pPr>
              <w:spacing w:after="0"/>
              <w:rPr>
                <w:sz w:val="1"/>
                <w:szCs w:val="1"/>
                <w:color w:val="auto"/>
              </w:rPr>
            </w:pPr>
          </w:p>
        </w:tc>
      </w:tr>
      <w:tr>
        <w:trPr>
          <w:trHeight w:val="174"/>
        </w:trPr>
        <w:tc>
          <w:tcPr>
            <w:tcW w:w="7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7560" w:type="dxa"/>
            <w:vAlign w:val="bottom"/>
          </w:tcPr>
          <w:p>
            <w:pPr>
              <w:spacing w:after="0"/>
              <w:rPr>
                <w:sz w:val="16"/>
                <w:szCs w:val="16"/>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6"/>
                <w:szCs w:val="16"/>
                <w:color w:val="auto"/>
              </w:rPr>
            </w:pPr>
          </w:p>
        </w:tc>
        <w:tc>
          <w:tcPr>
            <w:tcW w:w="16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25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Restricted Stock</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Arhaus, Inc. 2021 Equity Incentive Plan (the “2021 Plan”) was adopted in November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Per the 2021 Plan, each RSU and PSU represents a contingent right to receive one share of the Company’s Class A common stock upon vesting. The RSUs granted to award recipients will vest over two to five years (depending on the terms of the award) on each anniversary of the grant date,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cancelled immediately without consideration. RSU and PSU awards contain forfeitable rights to dividend equivalents. Dividend equivalents for outstanding awards are accrued when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dividends are declared on the Company’s common stock but are not paid until the awards vest, and dividend equivalents accrued for awards that ultimately do not vest are forfeited. Dividend equivalents are settled in the form of cash or Class A common stock based on the award agreement. The RSUs issued to certain members of the Board of Directors will generally vest on the one-year anniversary of the grant date. The fair value of RSUs is determined based on the market value of the Company’s Class A common stock on the grant date.</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number of PSUs earned will be based on the Company’s financial performance as measured against pre-established target performance goals over the applicable performance period. For PSUs granted in fiscal year 2024, the performance goals are cumulative demand revenue and cumulative adjusted EBITDA. In April 2025, the Company granted PSUs with the aforementioned performance goals and a new performance goal for relative Total Shareholder Return (“TSR”).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For PSUs granted in fiscal year 2026, the performance goals are cumulative comparable written sales, cumulative adjusted EBITDA and relative TSR.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with each goal weighted equally. The Company accounts for forfeitures as they occur.</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Activity of the Company’s PSU and RSU awards and their related equity based compensation expense are summarized in the following tables (amounts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PSU Awards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8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5"/>
                <w:szCs w:val="15"/>
                <w:color w:val="auto"/>
              </w:rPr>
            </w:pPr>
          </w:p>
        </w:tc>
        <w:tc>
          <w:tcPr>
            <w:tcW w:w="1560" w:type="dxa"/>
            <w:vAlign w:val="bottom"/>
            <w:gridSpan w:val="4"/>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4"/>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8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2,320,867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803,785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PSUs</w:t>
            </w:r>
            <w:r>
              <w:rPr>
                <w:rFonts w:ascii="Times New Roman" w:cs="Times New Roman" w:eastAsia="Times New Roman" w:hAnsi="Times New Roman"/>
                <w:sz w:val="23"/>
                <w:szCs w:val="23"/>
                <w:color w:val="auto"/>
                <w:vertAlign w:val="superscript"/>
              </w:rPr>
              <w:t>(1)</w:t>
            </w:r>
          </w:p>
        </w:tc>
        <w:tc>
          <w:tcPr>
            <w:tcW w:w="10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right="6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30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RSUs</w:t>
            </w:r>
            <w:r>
              <w:rPr>
                <w:rFonts w:ascii="Times New Roman" w:cs="Times New Roman" w:eastAsia="Times New Roman" w:hAnsi="Times New Roman"/>
                <w:sz w:val="23"/>
                <w:szCs w:val="23"/>
                <w:color w:val="auto"/>
                <w:vertAlign w:val="superscript"/>
              </w:rPr>
              <w:t>(2)</w:t>
            </w:r>
          </w:p>
        </w:tc>
        <w:tc>
          <w:tcPr>
            <w:tcW w:w="17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12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Total unrecognized equity based compensation for the PSUs to be recognized in future periods is $7.5 million at September 30, 2026, and will be recognized over a weighted average period of</w:t>
      </w:r>
    </w:p>
    <w:p>
      <w:pPr>
        <w:spacing w:after="0"/>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4"/>
          <w:szCs w:val="14"/>
          <w:color w:val="auto"/>
        </w:rPr>
        <w:t>2.01 years. Equity based compensation expense is recorded within selling, general and administrative expenses on our condensed consolidated statements of comprehensive income.</w:t>
      </w:r>
    </w:p>
    <w:p>
      <w:pPr>
        <w:spacing w:after="0" w:line="11" w:lineRule="exact"/>
        <w:rPr>
          <w:rFonts w:ascii="Times New Roman" w:cs="Times New Roman" w:eastAsia="Times New Roman" w:hAnsi="Times New Roman"/>
          <w:sz w:val="16"/>
          <w:szCs w:val="16"/>
          <w:b w:val="1"/>
          <w:bCs w:val="1"/>
          <w:color w:val="auto"/>
          <w:vertAlign w:val="superscript"/>
        </w:rPr>
      </w:pPr>
    </w:p>
    <w:p>
      <w:pPr>
        <w:ind w:right="140" w:firstLine="8"/>
        <w:spacing w:after="0" w:line="338" w:lineRule="auto"/>
        <w:tabs>
          <w:tab w:leader="none" w:pos="132"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Total unrecognized equity based compensation for the RSUs to be recognized in future periods is $14.5 million at September 30, 2026, and will be recognized over a weighted average period of 2.39 years. Equity based compensation expense is recorded within selling, general and administrative expenses on our condensed consolidated statements of comprehensive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broad range of categories, including furniture, outdoor, bath, lighting, textiles, and décor. The assortment of merchandise can be purchased through our Retail and eCommerce sales channels.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majority of our revenue is generated through sales to clients in the United States. Sales to clients outside of the United States are not significant. Further, no single client represents ten percent or more of our net revenue. There are no inter-segment transactions. Additionally, all property, furniture and equipment are located in the United States.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of our single operating segment are the same as those described within our summary of significant accounting policies in the Notes to the Consolidated Financial Statements in our Annual Report on Form 10-K for the year ended December 31, 2025. The CODM assesses performance at the consolidated level and makes business decisions based on various key performance indicators, primarily net income, which is also reported on the condensed consolidated statements of comprehensive income as net and comprehensive income.</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Asset information is reported on the condensed consolidated balance sheets as total assets. However, asset information is not used for purposes of making decisions, assessing financial performance or allocating resources.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 to the condensed consolidated statements of cash flow for property, furniture and equipment expenditures, related depreciation and amortization and other significant noncash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 by merchandise sales channel and segment expenses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9"/>
                <w:szCs w:val="19"/>
                <w:color w:val="auto"/>
              </w:rPr>
            </w:pPr>
          </w:p>
        </w:tc>
        <w:tc>
          <w:tcPr>
            <w:tcW w:w="31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286,159</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58,411</w:t>
            </w:r>
          </w:p>
        </w:tc>
      </w:tr>
      <w:tr>
        <w:trPr>
          <w:trHeight w:val="236"/>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1,067,289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1,014,377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344,570</w:t>
            </w:r>
          </w:p>
        </w:tc>
      </w:tr>
      <w:tr>
        <w:trPr>
          <w:trHeight w:val="257"/>
        </w:trPr>
        <w:tc>
          <w:tcPr>
            <w:tcW w:w="4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Less 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617,142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211,149</w:t>
            </w:r>
          </w:p>
        </w:tc>
      </w:tr>
      <w:tr>
        <w:trPr>
          <w:trHeight w:val="257"/>
        </w:trPr>
        <w:tc>
          <w:tcPr>
            <w:tcW w:w="4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Corporate and administrative expenses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55,645</w:t>
            </w: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45,673</w:t>
            </w:r>
          </w:p>
        </w:tc>
      </w:tr>
      <w:tr>
        <w:trPr>
          <w:trHeight w:val="25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5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6"/>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5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63"/>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49,688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52,166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7,819</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12,218</w:t>
            </w:r>
          </w:p>
        </w:tc>
      </w:tr>
      <w:tr>
        <w:trPr>
          <w:trHeight w:val="20"/>
        </w:trPr>
        <w:tc>
          <w:tcPr>
            <w:tcW w:w="4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Significant costs and expenses include cost of goods sold, corporate and administrative expenses, selling expenses and marketing expenses.</w:t>
      </w:r>
    </w:p>
    <w:p>
      <w:pPr>
        <w:ind w:right="120" w:firstLine="8"/>
        <w:spacing w:after="0"/>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Corporate and administrative expenses primarily include warehouse expenses, equity based compensation costs, information technology, human resources and legal costs, insurance expenses, accounting fees and corporate sustainability costs.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and Comprehensive Income per Share</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Basic and diluted net and comprehensive income per share were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and comprehensive income per share are as follows (amounts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Pr>
          <w:p>
            <w:pPr>
              <w:spacing w:after="0"/>
              <w:rPr>
                <w:sz w:val="19"/>
                <w:szCs w:val="19"/>
                <w:color w:val="auto"/>
              </w:rPr>
            </w:pPr>
          </w:p>
        </w:tc>
        <w:tc>
          <w:tcPr>
            <w:tcW w:w="3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70"/>
        </w:trPr>
        <w:tc>
          <w:tcPr>
            <w:tcW w:w="4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180"/>
        </w:trPr>
        <w:tc>
          <w:tcPr>
            <w:tcW w:w="4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Denominator—Weighted Average Shares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4"/>
        </w:trPr>
        <w:tc>
          <w:tcPr>
            <w:tcW w:w="4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basic</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141,353,368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140,635,317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141,619,661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140,829,409</w:t>
            </w:r>
          </w:p>
        </w:tc>
      </w:tr>
      <w:tr>
        <w:trPr>
          <w:trHeight w:val="229"/>
        </w:trPr>
        <w:tc>
          <w:tcPr>
            <w:tcW w:w="4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 (2)</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655,515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847,313</w:t>
            </w:r>
          </w:p>
        </w:tc>
      </w:tr>
      <w:tr>
        <w:trPr>
          <w:trHeight w:val="184"/>
        </w:trPr>
        <w:tc>
          <w:tcPr>
            <w:tcW w:w="4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diluted</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141,943,580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141,310,742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142,275,176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141,676,722</w:t>
            </w:r>
          </w:p>
        </w:tc>
      </w:tr>
      <w:tr>
        <w:trPr>
          <w:trHeight w:val="270"/>
        </w:trPr>
        <w:tc>
          <w:tcPr>
            <w:tcW w:w="4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126" w:lineRule="exact"/>
        <w:rPr>
          <w:sz w:val="20"/>
          <w:szCs w:val="20"/>
          <w:color w:val="auto"/>
        </w:rPr>
      </w:pPr>
    </w:p>
    <w:p>
      <w:pPr>
        <w:ind w:firstLine="8"/>
        <w:spacing w:after="0" w:line="256" w:lineRule="auto"/>
        <w:tabs>
          <w:tab w:leader="none" w:pos="145"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nine and three months ended September 30, 2026, 496,208 and 237,720 shares of unvested RSUs and dividend equivalents were excluded from the computation of diluted earnings per share because their effect would have been anti-dilutive. During the nine and three months ended September 30, 2025, 544,565 and 216,714 shares of unvested restricted stock and RSUs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7"/>
          <w:szCs w:val="17"/>
          <w:color w:val="auto"/>
          <w:vertAlign w:val="superscript"/>
        </w:rPr>
      </w:pPr>
    </w:p>
    <w:p>
      <w:pPr>
        <w:ind w:right="40" w:firstLine="8"/>
        <w:spacing w:after="0" w:line="270" w:lineRule="auto"/>
        <w:tabs>
          <w:tab w:leader="none" w:pos="145"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nine and three months ended September 30, 2026, 819,302 PSUs were excluded from the calculation of the effect of dilutive restricted stock because they did not meet the required performance criteria. During the nine and three months ended September 30, 2025, 560,641 PSUs were excluded from the calculation of the effect of dilutive restricted stock because they did not meet the required performance criteria.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September 30, 2026 and December 31, 2025, the Company has accrued legal costs of $7.6 million and $6.5 million, respectively, that are included in accrued other expenses within our condensed consolidated balance sheets.</w:t>
      </w:r>
    </w:p>
    <w:p>
      <w:pPr>
        <w:spacing w:after="0" w:line="1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2026 and December 31, 2025, we recorded liabilities of $0.3 million and $0.3 million, respectively, in accrued other expenses within the condensed consolidated balance sheets for non-income tax matters that were probable and reasonably estimable.</w:t>
      </w:r>
    </w:p>
    <w:p>
      <w:pPr>
        <w:spacing w:after="0" w:line="1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entered into an irrevocable standby letter of credit arrangement for purposes of protecting a lessor against default on lease payments. As of September 30, 2026, these lease payments are included within the Company’s condensed consolidated balance sheets in operating lease liabilities. As of September 30, 2026,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condensed consolidated financial statements. Accordingly, no liability has been recorded with respect to this credit arrangement as of September 30,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(the “2024 Record Date”). The Company paid $0.1 million and $0.3 million of the aforementioned special cash dividend on its Class A common stock related to dividend equivalents on equity awards that vested during the nine months ended September 30, 2026 and September 30, 2025, respectively.</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17, 2026, the Board of Directors of the Company declared a special cash dividend on the Company’s Class A and Class B common stock of $0.35 per share, payable March 31, 2026, to shareholders of record at the close of business on March 18, 2026 (the “Record Date”). The Company paid $49.5 million of the aforementioned dividend on its Class A and Class B common stock to shareholders as of the Record Date during the nine months ended September 30, 2026.</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2026, dividends payable of $0.1 million are included in accrued other expenses. As of September 30, 2026, $0.5 million is included in additional paid-in capital for dividend equivalents. As of December 31, 2025, dividends payable of $0.1 million was included in accrued other expenses and there was no additional paid-in capital balance related to dividend equivalents. The remaining liability and equity balances recorded within our condensed consolidated balance sheets relate to dividend equivalents on outstanding equity awards under the Company’s equity incentive plan that were unvested as of the applicable record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$1.3 million and $1.3 million for the nine months ended September 30, 2026 and September 30, 2025, respectively. Rent expense was $0.4 million and $0.4 million for the three months ended September 30, 2026 and September 30, 2025, respectively.</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Mr. Beargie, a former Director of the Company, own 85% and 15%, respectively, for our Loft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$0.3 million and $0.3 million for the nine months ended September 30, 2026 and September 30, 2025, respectively. Rent expense was $0.1 million and $0.1 million for the three months ended September 30, 2026 and September 30, 2025, respectively.</w:t>
      </w:r>
    </w:p>
    <w:p>
      <w:pPr>
        <w:spacing w:after="0" w:line="1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lease agreement with Premier Conover, LLC, a company of which our CEO indirectly owns 40%, for a distribution center and manufacturing building.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$2.9 million and $2.9 million for the nine months ended September 30, 2026 and September 30, 2025, respectively. Rent expense was $0.9 million and $1.0 million for the three months ended September 30, 2026 and September 30,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expenses were $20.8 million and $18.9 million in the nine months ended September 30, 2026 and September 30, 2025, respectively. Income tax expenses were $3.9 million and $5.2 million in the three months ended September 30, 2026 and September 30, 2025, respectively. The effective tax rate was 29.5% and 26.6% for the nine months ended September 30, 2026 and September 30, 2025, respectively. The effective tax rate was 33.2% and 29.7% for the three months ended September 30, 2026 and September 30, 2025, respectively. The increase in the year-to-date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quarterly effective tax rate was primarily driven by the section 162(m) limitation on the deductibility of certain employee compensation.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for the three months ended September 30, 2026 (“Form 10-Q”) and our Annual Report on Form 10-K for the year ended December 31, 2025.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5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the growth rate of our business;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quality merchandise in sufficient quantities;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Challenges with the planning or implementation of our technology upgrades, including a new enterprise resource planning system;</w:t>
      </w:r>
    </w:p>
    <w:p>
      <w:pPr>
        <w:spacing w:after="0" w:line="9" w:lineRule="exact"/>
        <w:rPr>
          <w:rFonts w:ascii="Times New Roman" w:cs="Times New Roman" w:eastAsia="Times New Roman" w:hAnsi="Times New Roman"/>
          <w:sz w:val="18"/>
          <w:szCs w:val="18"/>
          <w:i w:val="1"/>
          <w:iCs w:val="1"/>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in our receiving and distribution system, including delays in the integration of our distribution centers and the possibility that we may not realize the anticipated benefits of multiple distribution centers;</w:t>
      </w: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new or proposed tariffs and changes to international trade policies and agreements;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i w:val="1"/>
          <w:iCs w:val="1"/>
          <w:color w:val="auto"/>
        </w:rPr>
      </w:pPr>
    </w:p>
    <w:p>
      <w:pPr>
        <w:ind w:left="660" w:right="700" w:hanging="328"/>
        <w:spacing w:after="0" w:line="250"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 a result of constraints in our supply chain or disruptions due to geopolitical events such as acts of war and/or terrorism or other hostilities;</w:t>
      </w: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failure of our vendors to meet our quality standards;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anticipate changes in consumer preferences;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maintaining and increasing Showroom traffic and sales;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in our market;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adequately protect our intellectual property;</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governmental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Effectively managing our eCommerce sales channel and digital marketing efforts;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transportation carriers and risks associated with freight and transportation costs; 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SEC rules and regulations as a public reporting company.</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2025.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the nine and three months ended September 30, 2026 and September 30, 2025, which represents the condensed consolidated financial results of Arhaus, Inc. and subsidiaries for the nine and three months ended September 30, 2026 and September 30, 2025, respectively.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Founded in 1986 by John Reed, our CEO, and his father, Arhaus is a premium home furnishings brand built on a simple idea: furniture and décor should be responsibly sourced, lovingly made, and built to last. We operate a vertically integrated model, designing and sourcing products directly from skilled artisans and carefully selected manufacturing vendors around the world, including domestic upholstery production at our own North Carolina manufacturing facility. This approach enables us to offer a highly exclusive and customizable assortment of heirloom-quality furniture and décor designed to be used and enjoyed for generations. Design is at the core of everything Arhaus does. With more than 100 Showroom locations across the United States, our integrated omni-channel model connects every client touchpoint, from Showroom and interior design to eCommerce and catalog, allowing us to meet clients wherever and however they choose to shop while delivering a highly personalized client-first experience from discovery through delivery.</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vertically integrated model, inclusive of design and product development teams, upholstery manufacturing capabilities, direct vendor sourcing, direct-to-consumer and direct-to-trade selling, allows Arhaus to maintain greater control over product quality, design integrity, and value. We offer merchandise across a broad range of categories, including furniture, outdoor, bath, lighting, textiles and décor. Our curated assortments are presented across our sales channels in sophisticated, family-friendly and lifestyle-oriented settings.</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Based on third-party reports, publicly available data, and our internal research, we believe the United States premium home furnishings market is approximately $100 billion. This highly fragmented market is served by a large number of independent retailers, which we believe provides us a meaningful opportunity to increase market share over time. We believe that we are well positioned to grow market share through our differentiated brand positioning, scale, and strong resonance with affluent clients who value quality, craftsmanship, and design.</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Products are designed for use throughout the home and are sourced directly from a global network of nearly 400 vendors. Through close collaboration with Arhaus product development teams and sourcing relationships, and supported by our vertically integrated model, we believe we are able to deliver high-quality products at a compelling value.</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Arhaus strives to deliver a welcoming and inspirational experience across both Showrooms and eCommerce, guided by our belief that retail is theater. Showrooms are immersive, design-forward spaces that serve as an important driver of brand awareness and client engagement, while our eCommerce channel functions as a seamless extension of the physical Showroom experience. Our experienced design consultants and interior designers provide expert guidance and personalized service, supporting clients throughout their shopping journey.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composition of our Showrooms by format and operating footprint as of each period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231F20"/>
              </w:rPr>
              <w:t>September 30,</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December 31,</w:t>
            </w:r>
          </w:p>
        </w:tc>
      </w:tr>
      <w:tr>
        <w:trPr>
          <w:trHeight w:val="238"/>
        </w:trPr>
        <w:tc>
          <w:tcPr>
            <w:tcW w:w="764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231F20"/>
              </w:rPr>
              <w:t>2025</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Showrooms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Lofts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(in thousands)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with interior designers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interior designers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States where we operate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we generated $1,067.3 million of net revenue, $430.9 million of gross margin and $49.7 million of net and comprehensive income. For the three months ended September 30, 2026, we generated $368.1 million of net revenue, $144.4 million of gross margin, and $7.8 million of net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U.S. GAAP results, this Form 10-Q contains references to the non-GAAP financial measures below. We use these non-GAAP measures to help assess the performance of our business, identify trends affecting our business, formulate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Written Sales</w:t>
      </w:r>
      <w:r>
        <w:rPr>
          <w:rFonts w:ascii="Times New Roman" w:cs="Times New Roman" w:eastAsia="Times New Roman" w:hAnsi="Times New Roman"/>
          <w:sz w:val="18"/>
          <w:szCs w:val="18"/>
          <w:color w:val="auto"/>
        </w:rPr>
        <w:t>. Net revenue is recognized when a client obtains control of the merchandise. We also track written sales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 key 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Comparable Delivered Sales</w:t>
      </w:r>
      <w:r>
        <w:rPr>
          <w:rFonts w:ascii="Times New Roman" w:cs="Times New Roman" w:eastAsia="Times New Roman" w:hAnsi="Times New Roman"/>
          <w:sz w:val="18"/>
          <w:szCs w:val="18"/>
          <w:color w:val="auto"/>
        </w:rPr>
        <w:t>. Comparable Delivered Sales is the year-over-year percentage change of the dollar value of orders delivered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w:t>
      </w:r>
    </w:p>
    <w:p>
      <w:pPr>
        <w:spacing w:after="0" w:line="15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Comparable Delivered Sales provides management 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w:t>
      </w:r>
    </w:p>
    <w:p>
      <w:pPr>
        <w:spacing w:after="0" w:line="1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Comparable Written Sales</w:t>
      </w:r>
      <w:r>
        <w:rPr>
          <w:rFonts w:ascii="Times New Roman" w:cs="Times New Roman" w:eastAsia="Times New Roman" w:hAnsi="Times New Roman"/>
          <w:sz w:val="18"/>
          <w:szCs w:val="18"/>
          <w:color w:val="auto"/>
        </w:rPr>
        <w:t>. Comparable Written Sales is the year-over-year percentage change in written sales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w:t>
      </w:r>
    </w:p>
    <w:p>
      <w:pPr>
        <w:spacing w:after="0" w:line="1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While the underlying written sales that support this metric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trends and believes investors may find them useful when reviewed alongside reported results and other key metrics.</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includes all logistics costs associated with shipping product to our clients, partially offset by delivery fees collected from clients (recorded in net revenue on the condensed consolidated statements of comprehensive income).</w:t>
      </w:r>
    </w:p>
    <w:p>
      <w:pPr>
        <w:spacing w:after="0" w:line="187"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income, net and income tax expense.</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28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57"/>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39,384</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w:t>
            </w:r>
          </w:p>
        </w:tc>
      </w:tr>
      <w:tr>
        <w:trPr>
          <w:trHeight w:val="25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107,368</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103,690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r>
      <w:tr>
        <w:trPr>
          <w:trHeight w:val="25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9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expenses (income)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115,851</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110,115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31,236</w:t>
            </w:r>
          </w:p>
        </w:tc>
      </w:tr>
      <w:tr>
        <w:trPr>
          <w:trHeight w:val="20"/>
        </w:trPr>
        <w:tc>
          <w:tcPr>
            <w:tcW w:w="4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Other expenses (income) represent costs and investments not indicative of ongoing business performance, such as loss (gain) on disposal of assets.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We define Free Cash Flow as net cash provided by operating activities less net cash used in investing activities. We believe that Free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is a useful measure that is helpful in 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2026, the U.S. Supreme Court issued a ruling invalidating certain tariffs previously imposed under the IEEPA. Subsequently, the U.S. Court of International Trade ruled that tariffs paid under the IEEPA must be refunded in accordance with the law. As a result, the U.S. Customs and Border Protection Agency launched a special tariff refund program to facilitate such refunds.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$37.8 million in tariff refunds and $1.3 million in interest as of September 30, 2026.</w:t>
      </w:r>
    </w:p>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and three months ended September 30, 2026, the Company recognized a benefit of $36.3 million and $12.5 million, respectively, for the recovery of IEEPA tariffs paid, primarily related to other merchandise inventory costs in cost of goods sold within the condensed consolidated statements of comprehensive income. As of September 30, 2026, the Company recorded $1.5 million related to the reduction in inventory costs in merchandise inventory, net within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Showroom Openings and Closings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Showrooms contribute incremental expense, new Showroom opening expense and net revenue to the Company. Our recent Showroom growth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2025 to September 30, 2026 is summarized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4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and should be read together with our condensed consolidated financial statements and related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Data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80" w:type="dxa"/>
            <w:vAlign w:val="bottom"/>
          </w:tcPr>
          <w:p>
            <w:pPr>
              <w:spacing w:after="0"/>
              <w:rPr>
                <w:sz w:val="19"/>
                <w:szCs w:val="19"/>
                <w:color w:val="auto"/>
              </w:rPr>
            </w:pPr>
          </w:p>
        </w:tc>
        <w:tc>
          <w:tcPr>
            <w:tcW w:w="29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344,570</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636,361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211,149</w:t>
            </w:r>
          </w:p>
        </w:tc>
      </w:tr>
      <w:tr>
        <w:trPr>
          <w:trHeight w:val="223"/>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133,421</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(2,527)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8"/>
              </w:rPr>
              <w:t>(1,514)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48"/>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51"/>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Operational Data (dollars 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7"/>
        </w:trPr>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Pr>
          <w:p>
            <w:pPr>
              <w:spacing w:after="0"/>
              <w:rPr>
                <w:sz w:val="24"/>
                <w:szCs w:val="24"/>
                <w:color w:val="auto"/>
              </w:rPr>
            </w:pPr>
          </w:p>
        </w:tc>
        <w:tc>
          <w:tcPr>
            <w:tcW w:w="30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1,067,289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1,014,377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368,116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344,570</w:t>
            </w: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delivered sales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5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written sales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198"/>
        </w:trPr>
        <w:tc>
          <w:tcPr>
            <w:tcW w:w="4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as a % of</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as a % of net revenue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52,166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12,218</w:t>
            </w: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as a % of net revenue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8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115,851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110,115</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27,385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31,236</w:t>
            </w: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
        </w:trPr>
        <w:tc>
          <w:tcPr>
            <w:tcW w:w="4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112"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“How We Assess the Performance of Our Business,” for a definition of adjusted EBITDA and a reconciliation of adjusted EBITDA to net and comprehensive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September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Net revenue increased $52.9 million, or 5.2%, to $1,067.3 million in the nine months ended September 30, 2026 compared to $1,014.4 million in the nine months ended September 30, 2025. The increase was driven primarily by $33.8 million of revenue growth related to new Showrooms opened in 2026 and 2025, with the remainder due to increased demand for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margin increased $33.7 million, or 8.5%, to $430.9 million in the nine months ended September 30, 2026 compared to $397.2 million in the nine months ended September 30, 2025. The increase was primarily driven by higher net revenue and the benefit related to recoveries of IEEPA tariffs of $8.8 million for inventory sold prior to January 1, 2026, partially offset by higher Showroom occupancy costs of $11.7 million, increased product costs of $9.2 million, higher fuel costs of $6.2 million, and higher credit card fees of $2.1 million.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percentage of net revenue, gross margin increased 120 basis points to 40.4% of net revenue in the nine months ended September 30, 2026 compared to 39.2% of net revenue in the nine months ended September 30, 2025. The gross margin increase as a percentage of net revenue was primarily driven by favorable products costs, which contributed 90 basis points, favorable delivery costs, which contributed 90 basis points, the benefit related to the recoveries of IEEPA tariffs, which contributed 80 basis points, partially offset by higher fuel costs, which increased by 60 basis points, Showroom occupancy costs, which increased by 60 basis points, and credit card fees, which increased by 10 basis points.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SG&amp;A expenses increased $35.8 million, or 10.9%, to $364.3 million in the nine months ended September 30, 2026 compared to $328.5 million in the nine months ended September 30, 2025. The increase was primarily due to a $20.8 million increase in general and administrative costs related to strategic investments to support and drive the growth of the business, including technology improvements, marketing initiatives and other corporate expenses, and a $15.0 million increase in selling expenses primarily related to increased demand for our products and new Showrooms.</w:t>
      </w:r>
    </w:p>
    <w:p>
      <w:pPr>
        <w:spacing w:after="0" w:line="13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increased 170 basis points to 34.1% of net revenue in the nine months ended September 30, 2026 compared to 32.4% of net revenue in the nine months ended September 30,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income, net increased to $2.5 million in the nine months ended September 30, 2026 compared to $2.1 million in the nine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Income tax expense was $20.8 million in the nine months ended September 30, 2026 compared to $18.9 million in the nine months ended September 30, 2025. Our effective tax rate was 29.5% and 26.6% for the nine months ended September 30, 2026 and September 30, 2025, respectively. The increase in the effective tax rate was primarily driven by the section 162(m) limitation on the deductibility of certain employee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$2.5 million to $49.7 million in the nine months ended September 30, 2026 compared to $52.2 million in the nine months ended September 30, 2025. The decrease was driven by the factors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September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revenue increased $23.5 million, or 6.8%, to $368.1 million in the three months ended September 30, 2026 compared to $344.6 million in the three months ended September 30, 2025. The increase was driven primarily by $13.2 million of revenue growth related to new Showrooms opened in 2026 and 2025, with the remainder due to increased demand for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Gross margin increased $11.0 million, or 8.2%, to $144.4 million in the three months ended September 30, 2026 compared to $133.4 million in the three months ended September 30, 2025. The increase was primarily due to higher net revenue, partially offset by higher Showroom occupancy costs of $6.4 million, increased product costs of $3.7 million, and higher fuel costs of $2.3 million.</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increased 50 basis points to 39.2% of net revenue in the three months ended September 30, 2026 compared to 38.7% of net revenue in the three months ended September 30, 2025. The gross margin increase as a percentage of net revenue was primarily driven by favorable product costs, which contributed 130 basis points, favorable delivery costs, which contributed 80 basis points, partially offset by Showroom occupancy costs, which increased 110 basis points and higher fuel costs, which increased by 60 basis points.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SG&amp;A expenses increased $17.3 million, or 14.8%, to $134.3 million in the three months ended September 30, 2026 compared to $117.0 million in the three months ended September 30, 2025. The increase was primarily due to a $10.5 million increase in general and administrative costs, primarily related to strategic investments to support and drive the growth of the business, including marketing initiatives, technology improvements and other corporate expenses, and a $6.8 million increase in selling expenses primarily related to increased demand for our products and new Showrooms.</w:t>
      </w:r>
    </w:p>
    <w:p>
      <w:pPr>
        <w:spacing w:after="0" w:line="13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increased 250 basis points to 36.5% of net revenue in the three months ended September 30, 2026 compared to 34.0% of net revenue in the three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0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Interest income, net increased to $1.0 million in the three months ended September 30, 2026 compared to $0.8 million in the three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Income taxes were $3.9 million in the three months ended September 30, 2026 compared to $5.2 million in the three months ended September 30, 2025. Our effective tax rate was 33.2% and 29.7% for the three months ended September 30,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2026 and September 30, 2025, respectively. The increase in the effective tax rate was primarily driven by the section 162(m) limitation on the deductibility of certain employee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$4.4 million to $7.8 million in the three months ended September 30, 2026 compared to $12.2 million in the three months ended September 30, 2025. The decrease was driven by the factors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Showroom rent,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September 30, 2026, we had cash and cash equivalents of $318.0 million.</w:t>
      </w:r>
    </w:p>
    <w:p>
      <w:pPr>
        <w:spacing w:after="0" w:line="1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primarily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related to growth initiatives, including supply chain and technology improvements. Our needs and uses of capital may change in the future due to changes in our business or new opportunities that we choose to pursue. As of September 30, 2026, we have no material off-balance sheet arrangements.</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The Company paid $0.1 million and $0.3 million of the aforementioned special cash dividend on its Class A common stock related to dividend equivalents on equity awards that vested during the nine months ended September 30, 2026 and September 30, 2025, respectively.</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17, 2026, the Board of Directors of the Company declared a special cash dividend on the Company’s Class A and Class B common stock of $0.35 per share, payable March 31, 2026, to shareholders of record at the close of business on March 18, 2026. The Company paid $49.5 million of the aforementioned dividend on its Class A and Class B common stock to shareholders as of the Record Date during the nine months ended September 30, 2026.</w:t>
      </w:r>
    </w:p>
    <w:p>
      <w:pPr>
        <w:spacing w:after="0" w:line="1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begun a multi-year transformation that will replace certain of our existing systems with a modern and integrated platform encompassing a new enterprise resource planning system (“ERP”), an order management system, a transportation management system and a point of sale system. The total incremental investment in connection with these technology upgrades is expected to be approximately $50 million, including implementation and project staffing costs as well as licensing fees through 2030. Cash outflows were approximately $10 million during the nine months ended September 30, 2026, and we anticipate approximately $20 million in 2026 and $12 million in 2027, with cash outflows tapering in early 2028 as we transition to annual licensing and maintenance costs of approximately $6 million per year through 2030.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prevailing Bloomberg Short-Term Bank Yield index rate plus the applicable margin, whereas the applicable margin is adjusted quarterly based on the Company’s consolidated rent-adjusted total leverage ratio.</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September 30, 2025).</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May 2025, the Company issued an irrevocable standby letter of credit under the 2021 Credit Facility in the amount of $5.1 million in connection with a lease, which remained outstanding at September 30, 2026.</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Amendment, the Company has incurred approximately $0.2 million in debt issuance costs. The 2021 Credit Facility bears variable interest rates at the prevailing Term Secured Overnight Financing Rate plus the applicable margin (1.75% at September 30, 2026). At September 30, 2026 and December 31, 2025, we had no borrowings on the 2021 Credit Facility and the available borrowing capacity was $69.9 million and $69.9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condensed consolidated financial statements for further information on our 2021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8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60" w:type="dxa"/>
            <w:vAlign w:val="bottom"/>
          </w:tcPr>
          <w:p>
            <w:pPr>
              <w:spacing w:after="0"/>
              <w:rPr>
                <w:sz w:val="20"/>
                <w:szCs w:val="20"/>
                <w:color w:val="auto"/>
              </w:rPr>
            </w:pPr>
          </w:p>
        </w:tc>
      </w:tr>
      <w:tr>
        <w:trPr>
          <w:trHeight w:val="256"/>
        </w:trPr>
        <w:tc>
          <w:tcPr>
            <w:tcW w:w="7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Pr>
          <w:p>
            <w:pPr>
              <w:spacing w:after="0"/>
              <w:rPr>
                <w:sz w:val="22"/>
                <w:szCs w:val="22"/>
                <w:color w:val="auto"/>
              </w:rPr>
            </w:pPr>
          </w:p>
        </w:tc>
      </w:tr>
      <w:tr>
        <w:trPr>
          <w:trHeight w:val="27"/>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172,960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127,538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64,926</w:t>
            </w:r>
          </w:p>
        </w:tc>
      </w:tr>
      <w:tr>
        <w:trPr>
          <w:trHeight w:val="21"/>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September 30, 2025</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$173.0 million and consisted of net income of $49.7 million adjusted for non-cash items of $114.1 million, which includes a change in working capital and other activities of $9.2 million. The cash provided by working capital was primarily driven by an increase in client deposits of $89.0 million and an increase in accrued expenses of $9.7 million, partially offset by a decrease in operating lease liabilities of $52.6 million primarily due to payments made under the related lease agreements, an increase in merchandise inventory of $21.7 million, an increase in prepaid and other current assets of $9.2 million, and a decrease in accounts payable of $7.8 million in the nine months ended September 30, 2026.</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$127.5 million and consisted of net income of $52.2 million adjusted for non-cash items of $106.6 million, which were partially offset by a change in working capital and other activities of $31.3 million. The use of cash from working capital was primarily driven by a decrease in operating lease liabilities of $42.4 million primarily due to payments made under the related lease agreements and an increase in merchandise inventory of $31.7 million, which was partially offset by an increase in client deposits of $33.1 million, and an increase in accrued expenses of $9.2 million in the nine months ended September 30,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September 30, 2025</w:t>
      </w:r>
    </w:p>
    <w:p>
      <w:pPr>
        <w:spacing w:after="0" w:line="18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Showrooms, vehicles, information technology and systems infrastructure, as well as supply chain investments.</w:t>
      </w:r>
    </w:p>
    <w:p>
      <w:pPr>
        <w:spacing w:after="0" w:line="13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investing activities was $58.1 million primarily due to investments in Showrooms, investments in our supply chain, and information technology and systems infrastructure, which was partially offset by insurance proceeds for property, furniture, and equipment.</w:t>
      </w:r>
    </w:p>
    <w:p>
      <w:pPr>
        <w:spacing w:after="0" w:line="13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$59.7 million primarily due to investments in Showrooms, vehicles, investments in our supply chain, and information technology and systems infrastructure.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 (amounts in thousands):</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764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24"/>
                <w:szCs w:val="24"/>
                <w:color w:val="auto"/>
              </w:rPr>
            </w:pPr>
          </w:p>
        </w:tc>
      </w:tr>
      <w:tr>
        <w:trPr>
          <w:trHeight w:val="257"/>
        </w:trPr>
        <w:tc>
          <w:tcPr>
            <w:tcW w:w="7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Pr>
          <w:p>
            <w:pPr>
              <w:spacing w:after="0"/>
              <w:rPr>
                <w:sz w:val="22"/>
                <w:szCs w:val="22"/>
                <w:color w:val="auto"/>
              </w:rPr>
            </w:pP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w:t>
            </w:r>
          </w:p>
        </w:tc>
      </w:tr>
      <w:tr>
        <w:trPr>
          <w:trHeight w:val="27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45,708</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capital expenditures, net of landlord contributions increased by $2.8 million in the nine months ended September 30, 2026 compared to the nine months ended September 30, 2025.</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anticipate our total capital expenditures, net of landlord contributions to be between $70 million and $90 million in fiscal year 2026, primarily related to new Showrooms and information technology and systems infrastructure.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and September 30, 2025</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financing activities was $51.9 million primarily due to the payment of the special dividend on our Class A and Class B common stock.</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financing activities was $2.9 million primarily due to the repurchase of shares for payment of withholding taxes for equity based compensation. These shares were not repurchased in connection with any publicly announced share repurchase programs.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to our condensed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2026 and September 30, 2025,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are primarily exposed to interest rate risk with respect to borrowing under our 2021 Credit Facility. Except for the $5.1 million irrevocable standby letter of credit issued in May 2025 as discussed in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condensed consolidated financial statements, we have no borrowings under the 2021 Credit Facility as of September 30, 2026.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CEO and Chief Financial Officer (“CFO”), evaluated the effectiveness of the design and operation of our disclosure controls and procedures (as defined in Rules 13a-15(e) and 15d-15(e) of the Securities Exchange Act of 1934 (“Exchange Act”)) as of September 30, 2026. Based upon that evaluation as of September 30, 2026, our CEO and CFO have concluded that our disclosure controls and procedures were not effective at the reasonable assurance level because of the material weaknesses in our internal control over financial reporting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these material weaknesses, our CEO and CFO concluded the financial statements were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the following material weaknesses in our ICFR.</w:t>
      </w:r>
    </w:p>
    <w:p>
      <w:pPr>
        <w:spacing w:after="0" w:line="135" w:lineRule="exact"/>
        <w:rPr>
          <w:sz w:val="20"/>
          <w:szCs w:val="20"/>
          <w:color w:val="auto"/>
        </w:rPr>
      </w:pPr>
    </w:p>
    <w:p>
      <w:pPr>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due to a lack of an appropriate level of experience and training related to internal control over financial reporting. Additionally, the lack of experience and training resulted in an inability to consistently establish appropriate authorities and responsibilities in pursuit of our financial reporting objectives, as demonstrated by, amongst other things, insufficient segregation of duties across our significant business processes. This material weakness contributed to the following additional material weakness.</w:t>
      </w:r>
    </w:p>
    <w:p>
      <w:pPr>
        <w:spacing w:after="0" w:line="2" w:lineRule="exact"/>
        <w:rPr>
          <w:rFonts w:ascii="Times New Roman" w:cs="Times New Roman" w:eastAsia="Times New Roman" w:hAnsi="Times New Roman"/>
          <w:sz w:val="18"/>
          <w:szCs w:val="18"/>
          <w:color w:val="auto"/>
        </w:rPr>
      </w:pPr>
    </w:p>
    <w:p>
      <w:pPr>
        <w:ind w:left="660" w:right="22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51" w:lineRule="exact"/>
        <w:rPr>
          <w:sz w:val="20"/>
          <w:szCs w:val="20"/>
          <w:color w:val="auto"/>
        </w:rPr>
      </w:pPr>
    </w:p>
    <w:p>
      <w:pPr>
        <w:ind w:left="660" w:right="10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the oversight of senior management and our Audit Committee, we continue to assess, implement and redesign our ICFR. Although the material weaknesses existing as of September 30, 2026 cannot be considered remediated until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related controls have operated effectively for a sufficient period of time and have been tested, we have made meaningful progress and continue to execute our remediation plan, including:</w:t>
      </w:r>
    </w:p>
    <w:p>
      <w:pPr>
        <w:spacing w:after="0" w:line="378" w:lineRule="exact"/>
        <w:rPr>
          <w:sz w:val="20"/>
          <w:szCs w:val="20"/>
          <w:color w:val="auto"/>
        </w:rPr>
      </w:pPr>
    </w:p>
    <w:p>
      <w:pPr>
        <w:ind w:left="660" w:right="2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cross functional taskforce of senior leaders with expertise in designing and implementing internal controls to oversee remediation activities. The taskforce is responsible for the oversight of our remediation plan including development of actions plans for individual control deficiencies.</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regular meetings between senior management and members of the Audit Committee to discuss and report on remediation progress and objectives. Additionally, progress updates are regularly provided to the Board of Directors.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our internal audit department to a third-party service firm and transitioned our former internal audit department to our business process improvement function, which is assisting with control design, implementation, and remediation execution.</w:t>
      </w:r>
    </w:p>
    <w:p>
      <w:pPr>
        <w:ind w:left="660" w:right="60" w:hanging="328"/>
        <w:spacing w:after="0" w:line="26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and enhanced the accounting organization by assessing personnel competency and capacity, hired additional qualified technical accounting, financial reporting, and lease accounting experts (including senior level leaders), and strengthened training, oversight, and the internal review processes to ensure the team possesses the appropriate knowledge and experience to design, execute, and oversee ICFR related activities.</w:t>
      </w:r>
    </w:p>
    <w:p>
      <w:pPr>
        <w:ind w:left="660" w:right="3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and continue to evaluate the IT function to ensure that it is adequately staffed with personnel possessing the necessary ICFR related knowledge and competencies. Significant personnel additions have been made within our IT department and across the organization, including executive and senior level hires.</w:t>
      </w:r>
    </w:p>
    <w:p>
      <w:pPr>
        <w:spacing w:after="0" w:line="1"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and continue to hire additional personnel to enhance the segregation of duties in the IT department, particularly between IT development and IT operations.</w:t>
      </w:r>
    </w:p>
    <w:p>
      <w:pPr>
        <w:ind w:left="660" w:right="160" w:hanging="328"/>
        <w:spacing w:after="0" w:line="260"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multi-year company-wide initiative has begun to modernize the Company’s IT infrastructure, including the implementation of a new ERP to replace our existing ERP, to be capable of streamlining many of our manual financial reporting processes, enhancing our information technology control environment and mitigating the underlying internal control gaps and limitations that cannot be remediated within current systems.</w:t>
      </w:r>
    </w:p>
    <w:p>
      <w:pPr>
        <w:ind w:left="660" w:right="22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and developed a plan for recurring trainings on a periodic basis for control owners and performers on key ICFR topics including, but not limited to:</w:t>
      </w:r>
    </w:p>
    <w:p>
      <w:pPr>
        <w:spacing w:after="0" w:line="1" w:lineRule="exact"/>
        <w:rPr>
          <w:rFonts w:ascii="Times New Roman" w:cs="Times New Roman" w:eastAsia="Times New Roman" w:hAnsi="Times New Roman"/>
          <w:sz w:val="18"/>
          <w:szCs w:val="18"/>
          <w:color w:val="auto"/>
        </w:rPr>
      </w:pPr>
    </w:p>
    <w:p>
      <w:pPr>
        <w:ind w:left="980"/>
        <w:spacing w:after="0" w:line="213"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user access review completion;</w:t>
      </w:r>
    </w:p>
    <w:p>
      <w:pPr>
        <w:ind w:left="980"/>
        <w:spacing w:after="0" w:line="225"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review and conclusions around Systems and Organization Control I (“SOC1”) reports;</w:t>
      </w:r>
    </w:p>
    <w:p>
      <w:pPr>
        <w:ind w:left="980"/>
        <w:spacing w:after="0" w:line="225"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software used in accounting;</w:t>
      </w:r>
    </w:p>
    <w:p>
      <w:pPr>
        <w:ind w:left="980"/>
        <w:spacing w:after="0" w:line="225"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validation of the system generated data used in the execution of a control;</w:t>
      </w:r>
    </w:p>
    <w:p>
      <w:pPr>
        <w:ind w:left="980"/>
        <w:spacing w:after="0" w:line="225"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account reconciliation formats and required support;</w:t>
      </w:r>
    </w:p>
    <w:p>
      <w:pPr>
        <w:ind w:left="980"/>
        <w:spacing w:after="0" w:line="211"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journal entry review and support; and</w:t>
      </w:r>
    </w:p>
    <w:p>
      <w:pPr>
        <w:ind w:left="980"/>
        <w:spacing w:after="0" w:line="211" w:lineRule="auto"/>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maintaining evidence of control support.</w:t>
      </w:r>
    </w:p>
    <w:p>
      <w:pPr>
        <w:ind w:left="660" w:right="280" w:hanging="328"/>
        <w:spacing w:after="0" w:line="248"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communications to employees regarding our internal control environment and related expectations. We developed training for newly hired personnel to ensure they are adequately trained with the appropriate level of knowledge and understanding of ICFR and its importance.</w:t>
      </w:r>
    </w:p>
    <w:p>
      <w:pPr>
        <w:spacing w:after="0" w:line="1" w:lineRule="exact"/>
        <w:rPr>
          <w:rFonts w:ascii="Times New Roman" w:cs="Times New Roman" w:eastAsia="Times New Roman" w:hAnsi="Times New Roman"/>
          <w:sz w:val="17"/>
          <w:szCs w:val="17"/>
          <w:color w:val="auto"/>
        </w:rPr>
      </w:pPr>
    </w:p>
    <w:p>
      <w:pPr>
        <w:ind w:left="660" w:right="80" w:hanging="328"/>
        <w:spacing w:after="0" w:line="23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our policies and procedures to establish and maintain effective segregation of duties for our accounting staff in relation to journal entries, reconciliations and other applicable processes. To supplement existing procedures, management implemented an account reconciliation software tool which increased the reliability around the monthly financial statement close procedures through utilization of period-end closing task checklists and standardized reconciliation processes.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processes, policies and procedures to support our financial close process, including but not limited to:</w:t>
      </w: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formalized procedures over the review of our financial statements;</w:t>
      </w: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implemented period-end closing task checklists; and</w:t>
      </w: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standardized reconciliation process.</w:t>
      </w:r>
    </w:p>
    <w:p>
      <w:pPr>
        <w:ind w:left="660" w:right="200" w:hanging="328"/>
        <w:spacing w:after="0" w:line="23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evaluated and refined its financial statement close process to enhance processes around the preparation and review of journal entries, including assessing the reliability of reports and spreadsheets used in controls. Enhanced the design of the control activities over the review of our consolidated balance sheet and statement of cash flows to help ensure that the classification of operating and investing activities is appropriately presented in the statement of cash flows.</w:t>
      </w:r>
    </w:p>
    <w:p>
      <w:pPr>
        <w:spacing w:after="0" w:line="3"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policies and procedures over all significant accounts.</w:t>
      </w:r>
    </w:p>
    <w:p>
      <w:pPr>
        <w:jc w:val="both"/>
        <w:ind w:left="660" w:right="100" w:hanging="328"/>
        <w:spacing w:after="0" w:line="23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spacing w:after="0" w:line="2" w:lineRule="exact"/>
        <w:rPr>
          <w:rFonts w:ascii="Times New Roman" w:cs="Times New Roman" w:eastAsia="Times New Roman" w:hAnsi="Times New Roman"/>
          <w:sz w:val="18"/>
          <w:szCs w:val="18"/>
          <w:color w:val="auto"/>
        </w:rPr>
      </w:pPr>
    </w:p>
    <w:p>
      <w:pPr>
        <w:ind w:left="660" w:right="120" w:hanging="328"/>
        <w:spacing w:after="0" w:line="23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20" w:hanging="328"/>
        <w:spacing w:after="0" w:line="24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spacing w:after="0" w:line="1" w:lineRule="exact"/>
        <w:rPr>
          <w:rFonts w:ascii="Times New Roman" w:cs="Times New Roman" w:eastAsia="Times New Roman" w:hAnsi="Times New Roman"/>
          <w:sz w:val="18"/>
          <w:szCs w:val="18"/>
          <w:color w:val="auto"/>
        </w:rPr>
      </w:pPr>
    </w:p>
    <w:p>
      <w:pPr>
        <w:ind w:left="660" w:right="40" w:hanging="328"/>
        <w:spacing w:after="0" w:line="23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the design and operation of control activities and procedures within the computer operations domain to help ensure that key batch jobs and interfaces are monitored, processing failures are adequately resolved, and recovery capability is tested.</w:t>
      </w:r>
    </w:p>
    <w:p>
      <w:pPr>
        <w:spacing w:after="0" w:line="1" w:lineRule="exact"/>
        <w:rPr>
          <w:rFonts w:ascii="Times New Roman" w:cs="Times New Roman" w:eastAsia="Times New Roman" w:hAnsi="Times New Roman"/>
          <w:sz w:val="18"/>
          <w:szCs w:val="18"/>
          <w:color w:val="auto"/>
        </w:rPr>
      </w:pPr>
    </w:p>
    <w:p>
      <w:pPr>
        <w:ind w:left="660" w:right="320" w:hanging="328"/>
        <w:spacing w:after="0" w:line="22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data backup procedures to help ensure that systems are adequately backed up and maintained and recovery of data from backups is tested.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identifying, evaluating and began testing key IT dependencies including key reports, automated application controls, interfaces and end user computer operations.</w:t>
      </w:r>
    </w:p>
    <w:p>
      <w:pPr>
        <w:spacing w:after="0" w:line="1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described above, we have implemented a number of controls as part of our internal control over financial reporting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in our Annual Report on Form 10-K for the year ended December 31,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with respect to repurchases of shares made by the Company during the three months ended September 30, 2026. The table reflects shares delivered to the Company by employees to satisfy tax withholding obligations due upon the vesting of performance stock units and restricted stock units. These shares were not repurchased in connection with any publicly announced share repurchase programs.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price paid</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purchased under publicly</w:t>
            </w:r>
          </w:p>
        </w:tc>
      </w:tr>
      <w:tr>
        <w:trPr>
          <w:trHeight w:val="238"/>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420" w:type="dxa"/>
            <w:vAlign w:val="bottom"/>
          </w:tcPr>
          <w:p>
            <w:pPr>
              <w:spacing w:after="0"/>
              <w:rPr>
                <w:sz w:val="20"/>
                <w:szCs w:val="20"/>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40" w:type="dxa"/>
            <w:vAlign w:val="bottom"/>
          </w:tcPr>
          <w:p>
            <w:pPr>
              <w:spacing w:after="0"/>
              <w:rPr>
                <w:sz w:val="20"/>
                <w:szCs w:val="20"/>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announced plans</w:t>
            </w:r>
          </w:p>
        </w:tc>
      </w:tr>
      <w:tr>
        <w:trPr>
          <w:trHeight w:val="27"/>
        </w:trPr>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2026</w:t>
            </w:r>
          </w:p>
        </w:tc>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2026</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2"/>
                <w:szCs w:val="22"/>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 except as follows:</w:t>
      </w:r>
    </w:p>
    <w:p>
      <w:pPr>
        <w:spacing w:after="0" w:line="1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August 25, 2026, John Reed, director and Chief Executive Officer, adopted a Rule 10b5-1 trading arrangement that is intended to satisfy the affirmative defense of Rule 10b5-1(c) for the sale of up to 1,000,000 shares of the Company’s Class A common stock beginning December 1, 2026. The arrangement’s expiration date is August 3, 2027.</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August 25, 2026, certain Reed family trusts, of which director Albert Adams and former director William Beargie are trustees, also adopted a 10b5-1 trading arrangement that is intended to satisfy the affirmative defense of Rule 10b5-1(c) for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sale of up to 1,000,000 additional shares of the Company’s Class A common stock beginning December 1, 2026. The arrangement’s expiration date is also August 3, 2027.</w:t>
      </w: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2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0000FF"/>
            </w:tcBorders>
          </w:tcPr>
          <w:p>
            <w:pPr>
              <w:spacing w:after="0"/>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0" w:type="dxa"/>
            <w:vAlign w:val="bottom"/>
          </w:tcPr>
          <w:p>
            <w:pPr>
              <w:spacing w:after="0"/>
              <w:rPr>
                <w:sz w:val="1"/>
                <w:szCs w:val="1"/>
                <w:color w:val="auto"/>
              </w:rPr>
            </w:pPr>
          </w:p>
        </w:tc>
      </w:tr>
      <w:tr>
        <w:trPr>
          <w:trHeight w:val="682"/>
        </w:trPr>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9"/>
        <w:spacing w:after="0" w:line="286" w:lineRule="auto"/>
        <w:rPr>
          <w:sz w:val="20"/>
          <w:szCs w:val="20"/>
          <w:color w:val="auto"/>
        </w:rPr>
      </w:pPr>
      <w:r>
        <w:rPr>
          <w:rFonts w:ascii="Times New Roman" w:cs="Times New Roman" w:eastAsia="Times New Roman" w:hAnsi="Times New Roman"/>
          <w:sz w:val="18"/>
          <w:szCs w:val="18"/>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0142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 to the Company’s Current</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Report on Form 8-K filed November 10,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 to the Company’s Current</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Report on Form 8-K filed November 10,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49" w:lineRule="exact"/>
        <w:rPr>
          <w:sz w:val="20"/>
          <w:szCs w:val="20"/>
          <w:color w:val="auto"/>
        </w:rPr>
      </w:pPr>
    </w:p>
    <w:p>
      <w:pPr>
        <w:sectPr>
          <w:pgSz w:w="11900" w:h="16838" w:orient="portrait"/>
          <w:cols w:equalWidth="0" w:num="2">
            <w:col w:w="7940" w:space="100"/>
            <w:col w:w="3100"/>
          </w:cols>
          <w:pgMar w:left="320" w:top="117" w:right="439" w:bottom="1440" w:gutter="0" w:footer="0" w:header="0"/>
        </w:sect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80" w:type="dxa"/>
            <w:vAlign w:val="bottom"/>
          </w:tcPr>
          <w:p>
            <w:pPr>
              <w:spacing w:after="0"/>
              <w:rPr>
                <w:sz w:val="17"/>
                <w:szCs w:val="17"/>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1"/>
        </w:trPr>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150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w:t>
            </w:r>
          </w:p>
        </w:tc>
        <w:tc>
          <w:tcPr>
            <w:tcW w:w="1500" w:type="dxa"/>
            <w:vAlign w:val="bottom"/>
          </w:tcPr>
          <w:p>
            <w:pPr>
              <w:spacing w:after="0"/>
              <w:rPr>
                <w:sz w:val="20"/>
                <w:szCs w:val="20"/>
                <w:color w:val="auto"/>
              </w:rPr>
            </w:pP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23"/>
        </w:trPr>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500" w:type="dxa"/>
            <w:vAlign w:val="bottom"/>
          </w:tcPr>
          <w:p>
            <w:pPr>
              <w:spacing w:after="0"/>
              <w:rPr>
                <w:sz w:val="19"/>
                <w:szCs w:val="19"/>
                <w:color w:val="auto"/>
              </w:rPr>
            </w:pPr>
          </w:p>
        </w:tc>
      </w:tr>
      <w:tr>
        <w:trPr>
          <w:trHeight w:val="32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23"/>
        </w:trPr>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1500" w:type="dxa"/>
            <w:vAlign w:val="bottom"/>
          </w:tcPr>
          <w:p>
            <w:pPr>
              <w:spacing w:after="0"/>
              <w:rPr>
                <w:sz w:val="19"/>
                <w:szCs w:val="19"/>
                <w:color w:val="auto"/>
              </w:rPr>
            </w:pPr>
          </w:p>
        </w:tc>
      </w:tr>
      <w:tr>
        <w:trPr>
          <w:trHeight w:val="333"/>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1500" w:type="dxa"/>
            <w:vAlign w:val="bottom"/>
          </w:tcPr>
          <w:p>
            <w:pPr>
              <w:spacing w:after="0"/>
              <w:rPr>
                <w:sz w:val="20"/>
                <w:szCs w:val="20"/>
                <w:color w:val="auto"/>
              </w:rPr>
            </w:pPr>
          </w:p>
        </w:tc>
      </w:tr>
      <w:tr>
        <w:trPr>
          <w:trHeight w:val="365"/>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65"/>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65"/>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6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65"/>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3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 taxonomy</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317" w:lineRule="exact"/>
        <w:rPr>
          <w:sz w:val="20"/>
          <w:szCs w:val="20"/>
          <w:color w:val="auto"/>
        </w:rPr>
      </w:pPr>
    </w:p>
    <w:p>
      <w:pPr>
        <w:ind w:left="420" w:right="120" w:hanging="412"/>
        <w:spacing w:after="0" w:line="282" w:lineRule="auto"/>
        <w:tabs>
          <w:tab w:leader="none" w:pos="231"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5th day of November, 2026.</w:t>
      </w:r>
    </w:p>
    <w:p>
      <w:pPr>
        <w:spacing w:after="0" w:line="1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Lee</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Lee</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Christian Sedor</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 Sedor</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17"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Lee, certify that:</w:t>
      </w:r>
    </w:p>
    <w:p>
      <w:pPr>
        <w:spacing w:after="0" w:line="13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1"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September 30, 2026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86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John Reed</w:t>
      </w:r>
    </w:p>
    <w:p>
      <w:pPr>
        <w:ind w:left="1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September 30, 2026 as filed with the Securities and Exchange Commission on the date hereof (the “Report”), I, Michael Lee, Chief Financial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Michael Lee</w:t>
      </w:r>
    </w:p>
    <w:p>
      <w:pPr>
        <w:ind w:left="1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endash "/>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7" Type="http://schemas.openxmlformats.org/officeDocument/2006/relationships/hyperlink" Target="https://www.sec.gov/Archives/edgar/data/1875444/000187544421000004/exhibit31-arcertificateo.htm" TargetMode="External"/><Relationship Id="rId78"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2026-11-05T05:20:50Z</dcterms:created>
  <dcterms:modified xsi:type="dcterms:W3CDTF">2026-11-05T05:20:50Z</dcterms:modified>
</cp:coreProperties>
</file>