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0001888118</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Arhaus,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001-41009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51 East Hines Hill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Boston Heights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32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44236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1-440-439-7700</w:t>
            </w:r>
          </w:p>
        </w:tc>
        <w:tc>
          <w:tcPr>
            <w:tcW w:w="0" w:type="dxa"/>
            <w:vAlign w:val="bottom"/>
          </w:tcPr>
          <w:p>
            <w:pPr>
              <w:spacing w:after="0"/>
              <w:rPr>
                <w:sz w:val="1"/>
                <w:szCs w:val="1"/>
                <w:color w:val="auto"/>
              </w:rPr>
            </w:pP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John Reed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115841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1397042.46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54636133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ind w:left="316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both"/>
        <w:ind w:left="3040"/>
        <w:spacing w:after="0"/>
        <w:tabs>
          <w:tab w:leader="none" w:pos="42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Class B</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shares</w:t>
      </w:r>
    </w:p>
    <w:p>
      <w:pPr>
        <w:ind w:left="1040"/>
        <w:spacing w:after="0" w:line="230" w:lineRule="auto"/>
        <w:rPr>
          <w:sz w:val="20"/>
          <w:szCs w:val="20"/>
          <w:color w:val="auto"/>
        </w:rPr>
      </w:pPr>
      <w:r>
        <w:rPr>
          <w:rFonts w:ascii="Times New Roman" w:cs="Times New Roman" w:eastAsia="Times New Roman" w:hAnsi="Times New Roman"/>
          <w:sz w:val="22"/>
          <w:szCs w:val="22"/>
          <w:color w:val="auto"/>
        </w:rPr>
        <w:t>from Issuer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private</w:t>
      </w:r>
    </w:p>
    <w:p>
      <w:pPr>
        <w:ind w:left="1040"/>
        <w:spacing w:after="0" w:line="230" w:lineRule="auto"/>
        <w:rPr>
          <w:sz w:val="20"/>
          <w:szCs w:val="20"/>
          <w:color w:val="auto"/>
        </w:rPr>
      </w:pPr>
      <w:r>
        <w:rPr>
          <w:rFonts w:ascii="Times New Roman" w:cs="Times New Roman" w:eastAsia="Times New Roman" w:hAnsi="Times New Roman"/>
          <w:sz w:val="22"/>
          <w:szCs w:val="22"/>
          <w:color w:val="auto"/>
        </w:rPr>
        <w:t>transaction; Class</w:t>
      </w:r>
    </w:p>
    <w:p>
      <w:pPr>
        <w:spacing w:after="0" w:line="231" w:lineRule="auto"/>
        <w:rPr>
          <w:sz w:val="20"/>
          <w:szCs w:val="20"/>
          <w:color w:val="auto"/>
        </w:rPr>
      </w:pPr>
      <w:r>
        <w:rPr>
          <w:rFonts w:ascii="Times New Roman" w:cs="Times New Roman" w:eastAsia="Times New Roman" w:hAnsi="Times New Roman"/>
          <w:sz w:val="22"/>
          <w:szCs w:val="22"/>
          <w:color w:val="auto"/>
        </w:rPr>
        <w:t>10/28/2026 B common shares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to be converted to</w:t>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shares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any sales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Class B</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shares</w:t>
      </w:r>
    </w:p>
    <w:p>
      <w:pPr>
        <w:ind w:left="1040"/>
        <w:spacing w:after="0" w:line="230" w:lineRule="auto"/>
        <w:rPr>
          <w:sz w:val="20"/>
          <w:szCs w:val="20"/>
          <w:color w:val="auto"/>
        </w:rPr>
      </w:pPr>
      <w:r>
        <w:rPr>
          <w:rFonts w:ascii="Times New Roman" w:cs="Times New Roman" w:eastAsia="Times New Roman" w:hAnsi="Times New Roman"/>
          <w:sz w:val="22"/>
          <w:szCs w:val="22"/>
          <w:color w:val="auto"/>
        </w:rPr>
        <w:t>from Issuer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private</w:t>
      </w:r>
    </w:p>
    <w:p>
      <w:pPr>
        <w:ind w:left="1040"/>
        <w:spacing w:after="0" w:line="230" w:lineRule="auto"/>
        <w:rPr>
          <w:sz w:val="20"/>
          <w:szCs w:val="20"/>
          <w:color w:val="auto"/>
        </w:rPr>
      </w:pPr>
      <w:r>
        <w:rPr>
          <w:rFonts w:ascii="Times New Roman" w:cs="Times New Roman" w:eastAsia="Times New Roman" w:hAnsi="Times New Roman"/>
          <w:sz w:val="22"/>
          <w:szCs w:val="22"/>
          <w:color w:val="auto"/>
        </w:rPr>
        <w:t>transaction; Class</w:t>
      </w:r>
    </w:p>
    <w:p>
      <w:pPr>
        <w:spacing w:after="0" w:line="231" w:lineRule="auto"/>
        <w:rPr>
          <w:sz w:val="20"/>
          <w:szCs w:val="20"/>
          <w:color w:val="auto"/>
        </w:rPr>
      </w:pPr>
      <w:r>
        <w:rPr>
          <w:rFonts w:ascii="Times New Roman" w:cs="Times New Roman" w:eastAsia="Times New Roman" w:hAnsi="Times New Roman"/>
          <w:sz w:val="22"/>
          <w:szCs w:val="22"/>
          <w:color w:val="auto"/>
        </w:rPr>
        <w:t>10/28/2026 B common shares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to be converted to</w:t>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shares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any sales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Class B</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shares</w:t>
      </w:r>
    </w:p>
    <w:p>
      <w:pPr>
        <w:ind w:left="1040"/>
        <w:spacing w:after="0" w:line="230" w:lineRule="auto"/>
        <w:rPr>
          <w:sz w:val="20"/>
          <w:szCs w:val="20"/>
          <w:color w:val="auto"/>
        </w:rPr>
      </w:pPr>
      <w:r>
        <w:rPr>
          <w:rFonts w:ascii="Times New Roman" w:cs="Times New Roman" w:eastAsia="Times New Roman" w:hAnsi="Times New Roman"/>
          <w:sz w:val="22"/>
          <w:szCs w:val="22"/>
          <w:color w:val="auto"/>
        </w:rPr>
        <w:t>from Issuer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private</w:t>
      </w:r>
    </w:p>
    <w:p>
      <w:pPr>
        <w:ind w:left="1040"/>
        <w:spacing w:after="0" w:line="230" w:lineRule="auto"/>
        <w:rPr>
          <w:sz w:val="20"/>
          <w:szCs w:val="20"/>
          <w:color w:val="auto"/>
        </w:rPr>
      </w:pPr>
      <w:r>
        <w:rPr>
          <w:rFonts w:ascii="Times New Roman" w:cs="Times New Roman" w:eastAsia="Times New Roman" w:hAnsi="Times New Roman"/>
          <w:sz w:val="22"/>
          <w:szCs w:val="22"/>
          <w:color w:val="auto"/>
        </w:rPr>
        <w:t>transaction; Class</w:t>
      </w:r>
    </w:p>
    <w:p>
      <w:pPr>
        <w:spacing w:after="0" w:line="231" w:lineRule="auto"/>
        <w:rPr>
          <w:sz w:val="20"/>
          <w:szCs w:val="20"/>
          <w:color w:val="auto"/>
        </w:rPr>
      </w:pPr>
      <w:r>
        <w:rPr>
          <w:rFonts w:ascii="Times New Roman" w:cs="Times New Roman" w:eastAsia="Times New Roman" w:hAnsi="Times New Roman"/>
          <w:sz w:val="22"/>
          <w:szCs w:val="22"/>
          <w:color w:val="auto"/>
        </w:rPr>
        <w:t>10/28/2026 B common shares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to be converted to</w:t>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shares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any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50270</w:t>
      </w:r>
      <w:r>
        <w:rPr>
          <w:sz w:val="20"/>
          <w:szCs w:val="20"/>
          <w:color w:val="auto"/>
        </w:rPr>
        <w:tab/>
      </w:r>
      <w:r>
        <w:rPr>
          <w:rFonts w:ascii="Times New Roman" w:cs="Times New Roman" w:eastAsia="Times New Roman" w:hAnsi="Times New Roman"/>
          <w:sz w:val="21"/>
          <w:szCs w:val="21"/>
          <w:color w:val="auto"/>
        </w:rPr>
        <w:t>10/28/2026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7650</w:t>
      </w:r>
      <w:r>
        <w:rPr>
          <w:sz w:val="20"/>
          <w:szCs w:val="20"/>
          <w:color w:val="auto"/>
        </w:rPr>
        <w:tab/>
      </w:r>
      <w:r>
        <w:rPr>
          <w:rFonts w:ascii="Times New Roman" w:cs="Times New Roman" w:eastAsia="Times New Roman" w:hAnsi="Times New Roman"/>
          <w:sz w:val="21"/>
          <w:szCs w:val="21"/>
          <w:color w:val="auto"/>
        </w:rPr>
        <w:t>10/28/2026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57921</w:t>
      </w:r>
      <w:r>
        <w:rPr>
          <w:sz w:val="20"/>
          <w:szCs w:val="20"/>
          <w:color w:val="auto"/>
        </w:rPr>
        <w:tab/>
      </w:r>
      <w:r>
        <w:rPr>
          <w:rFonts w:ascii="Times New Roman" w:cs="Times New Roman" w:eastAsia="Times New Roman" w:hAnsi="Times New Roman"/>
          <w:sz w:val="21"/>
          <w:szCs w:val="21"/>
          <w:color w:val="auto"/>
        </w:rPr>
        <w:t>10/28/2026 None</w:t>
      </w:r>
    </w:p>
    <w:p>
      <w:pPr>
        <w:spacing w:after="0" w:line="1450" w:lineRule="exact"/>
        <w:rPr>
          <w:sz w:val="20"/>
          <w:szCs w:val="20"/>
          <w:color w:val="auto"/>
        </w:rPr>
      </w:pPr>
    </w:p>
    <w:p>
      <w:pPr>
        <w:sectPr>
          <w:pgSz w:w="11900" w:h="16838" w:orient="portrait"/>
          <w:cols w:equalWidth="0" w:num="3">
            <w:col w:w="1400" w:space="120"/>
            <w:col w:w="4980" w:space="720"/>
            <w:col w:w="4020"/>
          </w:cols>
          <w:pgMar w:left="320" w:top="108" w:right="339" w:bottom="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12/15/2025, that is intended to comply with Rule 10b5-1(c). Total number of shares to be sold includes 50,270 shares by 2018 Reed Dynasty Trust; 7,650 shares by Reed 2013 Generation-Skipping Trust; 57,921 shares by John P Reed 2019 Restatement of Revocable Trust.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11/03/2026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524" w:lineRule="exact"/>
        <w:rPr>
          <w:sz w:val="20"/>
          <w:szCs w:val="20"/>
          <w:color w:val="auto"/>
        </w:rPr>
      </w:pPr>
    </w:p>
    <w:p>
      <w:pPr>
        <w:sectPr>
          <w:pgSz w:w="11900" w:h="16838" w:orient="portrait"/>
          <w:cols w:equalWidth="0" w:num="2">
            <w:col w:w="1760" w:space="240"/>
            <w:col w:w="924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John Reed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2026-11-03T17:57:04Z</dcterms:created>
  <dcterms:modified xsi:type="dcterms:W3CDTF">2026-11-03T17:57:04Z</dcterms:modified>
</cp:coreProperties>
</file>