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33"/>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93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93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14"/>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933"/>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82" w:lineRule="exact"/>
        <w:rPr>
          <w:sz w:val="24"/>
          <w:szCs w:val="24"/>
          <w:color w:val="auto"/>
        </w:rPr>
      </w:pPr>
    </w:p>
    <w:p>
      <w:pPr>
        <w:jc w:val="center"/>
        <w:ind w:right="-933"/>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8" w:lineRule="exact"/>
        <w:rPr>
          <w:sz w:val="24"/>
          <w:szCs w:val="24"/>
          <w:color w:val="auto"/>
        </w:rPr>
      </w:pPr>
    </w:p>
    <w:p>
      <w:pPr>
        <w:ind w:left="4014"/>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7" w:lineRule="exact"/>
        <w:rPr>
          <w:sz w:val="24"/>
          <w:szCs w:val="24"/>
          <w:color w:val="auto"/>
        </w:rPr>
      </w:pPr>
    </w:p>
    <w:p>
      <w:pPr>
        <w:jc w:val="center"/>
        <w:ind w:right="-933"/>
        <w:spacing w:after="0"/>
        <w:rPr>
          <w:sz w:val="20"/>
          <w:szCs w:val="20"/>
          <w:color w:val="auto"/>
        </w:rPr>
      </w:pPr>
      <w:r>
        <w:rPr>
          <w:rFonts w:ascii="Times New Roman" w:cs="Times New Roman" w:eastAsia="Times New Roman" w:hAnsi="Times New Roman"/>
          <w:sz w:val="29"/>
          <w:szCs w:val="29"/>
          <w:b w:val="1"/>
          <w:bCs w:val="1"/>
          <w:color w:val="auto"/>
        </w:rPr>
        <w:t>Arhaus, Inc.</w:t>
      </w:r>
    </w:p>
    <w:p>
      <w:pPr>
        <w:spacing w:after="0" w:line="78" w:lineRule="exact"/>
        <w:rPr>
          <w:sz w:val="24"/>
          <w:szCs w:val="24"/>
          <w:color w:val="auto"/>
        </w:rPr>
      </w:pPr>
    </w:p>
    <w:p>
      <w:pPr>
        <w:ind w:left="3614"/>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pacing w:after="0" w:line="59" w:lineRule="exact"/>
        <w:rPr>
          <w:sz w:val="24"/>
          <w:szCs w:val="24"/>
          <w:color w:val="auto"/>
        </w:rPr>
      </w:pPr>
    </w:p>
    <w:tbl>
      <w:tblPr>
        <w:tblLayout w:type="fixed"/>
        <w:tblInd w:w="454"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6100" w:type="dxa"/>
            <w:vAlign w:val="bottom"/>
          </w:tcPr>
          <w:p>
            <w:pPr>
              <w:jc w:val="right"/>
              <w:ind w:right="277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r>
      <w:tr>
        <w:trPr>
          <w:trHeight w:val="508"/>
        </w:trPr>
        <w:tc>
          <w:tcPr>
            <w:tcW w:w="3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1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001-41009</w:t>
            </w:r>
          </w:p>
        </w:tc>
      </w:tr>
      <w:tr>
        <w:trPr>
          <w:trHeight w:val="216"/>
        </w:trPr>
        <w:tc>
          <w:tcPr>
            <w:tcW w:w="3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6100" w:type="dxa"/>
            <w:vAlign w:val="bottom"/>
          </w:tcPr>
          <w:p>
            <w:pPr>
              <w:jc w:val="center"/>
              <w:ind w:left="4030"/>
              <w:spacing w:after="0"/>
              <w:rPr>
                <w:sz w:val="20"/>
                <w:szCs w:val="20"/>
                <w:color w:val="auto"/>
              </w:rPr>
            </w:pPr>
            <w:r>
              <w:rPr>
                <w:rFonts w:ascii="Times New Roman" w:cs="Times New Roman" w:eastAsia="Times New Roman" w:hAnsi="Times New Roman"/>
                <w:sz w:val="18"/>
                <w:szCs w:val="18"/>
                <w:color w:val="auto"/>
                <w:w w:val="99"/>
              </w:rPr>
              <w:t>(Commission File Number)</w:t>
            </w:r>
          </w:p>
        </w:tc>
      </w:tr>
      <w:tr>
        <w:trPr>
          <w:trHeight w:val="234"/>
        </w:trPr>
        <w:tc>
          <w:tcPr>
            <w:tcW w:w="3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6100" w:type="dxa"/>
            <w:vAlign w:val="bottom"/>
          </w:tcPr>
          <w:p>
            <w:pPr>
              <w:spacing w:after="0"/>
              <w:rPr>
                <w:sz w:val="20"/>
                <w:szCs w:val="20"/>
                <w:color w:val="auto"/>
              </w:rPr>
            </w:pPr>
          </w:p>
        </w:tc>
      </w:tr>
      <w:tr>
        <w:trPr>
          <w:trHeight w:val="634"/>
        </w:trPr>
        <w:tc>
          <w:tcPr>
            <w:tcW w:w="3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51 E. Hines Hill Road, Boston Heights, Ohio</w:t>
            </w:r>
          </w:p>
        </w:tc>
        <w:tc>
          <w:tcPr>
            <w:tcW w:w="61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44236</w:t>
            </w:r>
          </w:p>
        </w:tc>
      </w:tr>
      <w:tr>
        <w:trPr>
          <w:trHeight w:val="392"/>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100" w:type="dxa"/>
            <w:vAlign w:val="bottom"/>
          </w:tcPr>
          <w:p>
            <w:pPr>
              <w:jc w:val="center"/>
              <w:ind w:left="40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933"/>
        <w:spacing w:after="0"/>
        <w:rPr>
          <w:sz w:val="20"/>
          <w:szCs w:val="20"/>
          <w:color w:val="auto"/>
        </w:rPr>
      </w:pPr>
      <w:r>
        <w:rPr>
          <w:rFonts w:ascii="Times New Roman" w:cs="Times New Roman" w:eastAsia="Times New Roman" w:hAnsi="Times New Roman"/>
          <w:sz w:val="18"/>
          <w:szCs w:val="18"/>
          <w:b w:val="1"/>
          <w:bCs w:val="1"/>
          <w:color w:val="auto"/>
        </w:rPr>
        <w:t>John Reed</w:t>
      </w:r>
    </w:p>
    <w:p>
      <w:pPr>
        <w:spacing w:after="0" w:line="31" w:lineRule="exact"/>
        <w:rPr>
          <w:sz w:val="24"/>
          <w:szCs w:val="24"/>
          <w:color w:val="auto"/>
        </w:rPr>
      </w:pPr>
    </w:p>
    <w:p>
      <w:pPr>
        <w:jc w:val="center"/>
        <w:ind w:right="-933"/>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33"/>
        <w:spacing w:after="0"/>
        <w:rPr>
          <w:sz w:val="20"/>
          <w:szCs w:val="20"/>
          <w:color w:val="auto"/>
        </w:rPr>
      </w:pPr>
      <w:r>
        <w:rPr>
          <w:rFonts w:ascii="Times New Roman" w:cs="Times New Roman" w:eastAsia="Times New Roman" w:hAnsi="Times New Roman"/>
          <w:sz w:val="18"/>
          <w:szCs w:val="18"/>
          <w:b w:val="1"/>
          <w:bCs w:val="1"/>
          <w:color w:val="auto"/>
        </w:rPr>
        <w:t>(440) 439-7700</w:t>
      </w:r>
    </w:p>
    <w:p>
      <w:pPr>
        <w:spacing w:after="0" w:line="9" w:lineRule="exact"/>
        <w:rPr>
          <w:sz w:val="24"/>
          <w:szCs w:val="24"/>
          <w:color w:val="auto"/>
        </w:rPr>
      </w:pPr>
    </w:p>
    <w:p>
      <w:pPr>
        <w:jc w:val="center"/>
        <w:ind w:right="-933"/>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2414"/>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00" w:lineRule="exact"/>
        <w:rPr>
          <w:sz w:val="24"/>
          <w:szCs w:val="24"/>
          <w:color w:val="auto"/>
        </w:rPr>
      </w:pPr>
    </w:p>
    <w:p>
      <w:pPr>
        <w:spacing w:after="0" w:line="305" w:lineRule="exact"/>
        <w:rPr>
          <w:sz w:val="24"/>
          <w:szCs w:val="24"/>
          <w:color w:val="auto"/>
        </w:rPr>
      </w:pPr>
    </w:p>
    <w:p>
      <w:pPr>
        <w:ind w:left="334" w:hanging="334"/>
        <w:spacing w:after="0"/>
        <w:tabs>
          <w:tab w:leader="none" w:pos="334"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Rule 13p-1 under the Securities Exchange Act (17 CFR 240.13p-1) for the reporting period from January 1 to December 31, 2025.</w:t>
      </w:r>
    </w:p>
    <w:p>
      <w:pPr>
        <w:sectPr>
          <w:pgSz w:w="11900" w:h="16838" w:orient="portrait"/>
          <w:cols w:equalWidth="0" w:num="1">
            <w:col w:w="10274"/>
          </w:cols>
          <w:pgMar w:left="346" w:top="1245" w:right="1279" w:bottom="1440" w:gutter="0" w:footer="0" w:header="0"/>
        </w:sectPr>
      </w:pPr>
    </w:p>
    <w:bookmarkStart w:id="1" w:name="page2"/>
    <w:bookmarkEnd w:id="1"/>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9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02" w:lineRule="exact"/>
        <w:rPr>
          <w:sz w:val="20"/>
          <w:szCs w:val="20"/>
          <w:color w:val="auto"/>
        </w:rPr>
      </w:pPr>
    </w:p>
    <w:p>
      <w:pPr>
        <w:jc w:val="both"/>
        <w:ind w:right="600"/>
        <w:spacing w:after="0" w:line="282" w:lineRule="auto"/>
        <w:rPr>
          <w:sz w:val="20"/>
          <w:szCs w:val="20"/>
          <w:color w:val="auto"/>
        </w:rPr>
      </w:pPr>
      <w:r>
        <w:rPr>
          <w:rFonts w:ascii="Times New Roman" w:cs="Times New Roman" w:eastAsia="Times New Roman" w:hAnsi="Times New Roman"/>
          <w:sz w:val="18"/>
          <w:szCs w:val="18"/>
          <w:color w:val="auto"/>
        </w:rPr>
        <w:t>This Specialized Disclosure Report on Form SD of Arhaus, Inc. (the "Company") is filed pursuant to Rule 13p-1 (the "Rule") under the Securities Exchange Act of 1934, as amended (the “Exchange Act”), for the reporting period January 1, 2025 to December 31, 2025 (the "reporting period").</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determined that during the reporting period, the Company contracted to manufacture products as to which conflict minerals are necessary to the functionality or production of such products. As a result, the Company has conducted a good faith reasonable country of origin inquiry to determine whether the necessary conflict minerals originated in the Democratic Republic of the Congo or an adjoining country or came from recycled or scrap sources. A description of the Company's reasonable country of origin inquiry process, the result of the inquiry, and the determination reached as a result of this inquiry process is included in the Company's Conflict Minerals Report attached as Exhibit 1.01 to this Form SD.</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copy of the Conflict Minerals report filed for the calendar year ended December 31, 2025 is publicly available electronically on the Investor Relations section of the Company's website at ir.arhaus.com, by clicking on “Financials” and then “SEC Filings.”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for the calendar year ended December 31, 2025 is filed as Exhibit 1.01 herewith.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2.01</w:t>
            </w:r>
          </w:p>
        </w:tc>
        <w:tc>
          <w:tcPr>
            <w:tcW w:w="6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43"/>
        </w:trPr>
        <w:tc>
          <w:tcPr>
            <w:tcW w:w="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80" w:type="dxa"/>
            <w:vAlign w:val="bottom"/>
          </w:tcPr>
          <w:p>
            <w:pPr>
              <w:spacing w:after="0"/>
              <w:rPr>
                <w:sz w:val="21"/>
                <w:szCs w:val="21"/>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1.</w:t>
            </w:r>
            <w:r>
              <w:rPr>
                <w:rFonts w:ascii="Times New Roman" w:cs="Times New Roman" w:eastAsia="Times New Roman" w:hAnsi="Times New Roman"/>
                <w:sz w:val="18"/>
                <w:szCs w:val="18"/>
                <w:u w:val="single" w:color="auto"/>
                <w:color w:val="0000FF"/>
                <w:w w:val="95"/>
              </w:rPr>
              <w:t>01</w:t>
            </w: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2025 Conflict Minerals Report as required by Items 1.01 and 1.02 of Form SD</w:t>
            </w:r>
          </w:p>
        </w:tc>
      </w:tr>
    </w:tbl>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29th day of May, 2026.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ARHAUS, INC.</w:t>
      </w:r>
    </w:p>
    <w:p>
      <w:pPr>
        <w:spacing w:after="0" w:line="351"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John Reed</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Reed</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859790</wp:posOffset>
            </wp:positionV>
            <wp:extent cx="186880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88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Conflict Minerals Report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Year Ended December 31,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193"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This report has been prepared by the management of Arhaus, Inc. (herein referred to as the “Company,” “Arhaus,” “we,” “us,” or “our”). The information includes the activities of all our wholly-owned subsidiaries.</w:t>
      </w:r>
    </w:p>
    <w:p>
      <w:pPr>
        <w:spacing w:after="0" w:line="173"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9"/>
          <w:szCs w:val="19"/>
          <w:color w:val="auto"/>
        </w:rPr>
        <w:t>Arhaus is a premium home furnishings brand built on a simple idea: furniture and décor should be responsibly sourced, lovingly made, and built to last. We operate a vertically integrated model, designing and sourcing products directly from skilled artisans and carefully selected</w:t>
      </w:r>
    </w:p>
    <w:p>
      <w:pPr>
        <w:spacing w:after="0" w:line="227" w:lineRule="auto"/>
        <w:rPr>
          <w:sz w:val="20"/>
          <w:szCs w:val="20"/>
          <w:color w:val="auto"/>
        </w:rPr>
      </w:pPr>
      <w:r>
        <w:rPr>
          <w:rFonts w:ascii="Times New Roman" w:cs="Times New Roman" w:eastAsia="Times New Roman" w:hAnsi="Times New Roman"/>
          <w:sz w:val="20"/>
          <w:szCs w:val="20"/>
          <w:color w:val="auto"/>
        </w:rPr>
        <w:t>manufacturing vendors around the world, including domestic upholstery production at our own North Carolina manufacturing facility. This</w:t>
      </w:r>
    </w:p>
    <w:p>
      <w:pPr>
        <w:ind w:right="140"/>
        <w:spacing w:after="0" w:line="228" w:lineRule="auto"/>
        <w:rPr>
          <w:sz w:val="20"/>
          <w:szCs w:val="20"/>
          <w:color w:val="auto"/>
        </w:rPr>
      </w:pPr>
      <w:r>
        <w:rPr>
          <w:rFonts w:ascii="Times New Roman" w:cs="Times New Roman" w:eastAsia="Times New Roman" w:hAnsi="Times New Roman"/>
          <w:sz w:val="20"/>
          <w:szCs w:val="20"/>
          <w:color w:val="auto"/>
        </w:rPr>
        <w:t>approach enables us to offer a highly exclusive and customizable assortment of heirloom-quality furniture and décor designed to be used for generations.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93"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For the 2025 calendar year, Arhaus determined that tin, tungsten, tantalum, and/or gold (“3TGs”) were necessary to the functionality or production of its products that were manufactured or contracted to be manufactured. Therefore, Arhaus conducted a reasonable country of origin inquiry in good faith to determine whether any of the 3TGs in its products originated from Conflict-Affected and High-Risk Areas (“CAHRAs”), such as the Democratic Republic of the Congo (“DRC”) or an adjoining country (collectively referred to as the “Covered Countries”).</w:t>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Based on the country of origin data, Arhaus believes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to determine whether its products are “conflict free or responsibly sourced.”</w:t>
      </w:r>
    </w:p>
    <w:p>
      <w:pPr>
        <w:spacing w:after="0" w:line="19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20"/>
          <w:szCs w:val="20"/>
          <w:color w:val="auto"/>
        </w:rPr>
        <w:t>The Company's due diligence measures were informed by the internationally recognized due diligence framework of the Organization for Economic Co-Operation and Development (“OECD”) Due Diligence Guidance for Responsible Supply Chains of Minerals from Conflict-Affected and High-Risk Areas and the related supplements for gold, tin, tantalum, and tungsten (the “OECD Guidance”).</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Conflict Minerals Program &amp; Policy</w:t>
      </w:r>
    </w:p>
    <w:p>
      <w:pPr>
        <w:spacing w:after="0" w:line="19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The Company has actively engaged with its suppliers with respect to the use of conflict minerals. In our Standards for Suppliers/Code of Conduct, Arhaus adopted a conflict minerals policy articulating the conflict minerals supply chain due diligence process and the Company’s commitments to reporting obligations regarding conflict minerals.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Products</w:t>
      </w:r>
    </w:p>
    <w:p>
      <w:pPr>
        <w:spacing w:after="0" w:line="179"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9"/>
          <w:szCs w:val="19"/>
          <w:color w:val="auto"/>
        </w:rPr>
        <w:t>Our product assortments span a wide range of categories and styles, including bedroom, dining room, living room, home office furnishings and include sofas, dining tables and chairs, accent chairs, console and coffee tables, beds, headboards, dressers, desks, bookcases, modular</w:t>
      </w:r>
    </w:p>
    <w:p>
      <w:pPr>
        <w:spacing w:after="0"/>
        <w:rPr>
          <w:sz w:val="20"/>
          <w:szCs w:val="20"/>
          <w:color w:val="auto"/>
        </w:rPr>
      </w:pPr>
      <w:r>
        <w:rPr>
          <w:rFonts w:ascii="Times New Roman" w:cs="Times New Roman" w:eastAsia="Times New Roman" w:hAnsi="Times New Roman"/>
          <w:sz w:val="19"/>
          <w:szCs w:val="19"/>
          <w:color w:val="auto"/>
        </w:rPr>
        <w:t>storage, among many more items. Our outdoor product assortment include outdoor dining tables, chairs, chaises and other furniture, lighting,</w:t>
      </w:r>
    </w:p>
    <w:p>
      <w:pPr>
        <w:ind w:right="200"/>
        <w:spacing w:after="0" w:line="229" w:lineRule="auto"/>
        <w:rPr>
          <w:sz w:val="20"/>
          <w:szCs w:val="20"/>
          <w:color w:val="auto"/>
        </w:rPr>
      </w:pPr>
      <w:r>
        <w:rPr>
          <w:rFonts w:ascii="Times New Roman" w:cs="Times New Roman" w:eastAsia="Times New Roman" w:hAnsi="Times New Roman"/>
          <w:sz w:val="19"/>
          <w:szCs w:val="19"/>
          <w:color w:val="auto"/>
        </w:rPr>
        <w:t>textiles, décor, umbrellas and fire pits. Our bath product assortment includes vanities and storage pieces, faucets and hardware, and Turkish bath towels. Our lighting product assortment consists of a variety of distinct and artistic lighting fixtures, including chandeliers, pendants,</w:t>
      </w:r>
    </w:p>
    <w:p>
      <w:pPr>
        <w:spacing w:after="0" w:line="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0"/>
          <w:szCs w:val="20"/>
          <w:color w:val="auto"/>
        </w:rPr>
        <w:t>table and floor lamps, and sconces. Our textile product assortment includes handcrafted indoor and outdoor rugs, bed linens, and pillows and throws. Our décor product assortment ranges from wall art to mirrors, vases to candles, and many other decorative accessories.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Reasonable Country of Origin Inquiry</w:t>
      </w:r>
    </w:p>
    <w:p>
      <w:pPr>
        <w:spacing w:after="0" w:line="19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To determine whether necessary 3TGs in products originated in Conflict-Affected and High-Risk Areas, Arhaus retained Assent Inc. (“Assent”), a third-party service provider, to assist in reviewing the supply chain and identifying risks. The Company provided a list composed of suppliers who accounted for more than $1,000 of landed receipts to Arhaus in the calendar year 2025 (“</w:t>
      </w:r>
      <w:r>
        <w:rPr>
          <w:rFonts w:ascii="Times New Roman" w:cs="Times New Roman" w:eastAsia="Times New Roman" w:hAnsi="Times New Roman"/>
          <w:sz w:val="20"/>
          <w:szCs w:val="20"/>
          <w:i w:val="1"/>
          <w:iCs w:val="1"/>
          <w:color w:val="auto"/>
        </w:rPr>
        <w:t>in-scope suppliers”</w:t>
      </w:r>
      <w:r>
        <w:rPr>
          <w:rFonts w:ascii="Times New Roman" w:cs="Times New Roman" w:eastAsia="Times New Roman" w:hAnsi="Times New Roman"/>
          <w:sz w:val="20"/>
          <w:szCs w:val="20"/>
          <w:color w:val="auto"/>
        </w:rPr>
        <w:t>) to Assent for upload to the Assent Compliance Manager.</w:t>
      </w:r>
    </w:p>
    <w:p>
      <w:pPr>
        <w:spacing w:after="0" w:line="213"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To trace materials, and demonstrate transparency procured by the supply chain, Arhaus utilized the Conflict Minerals Reporting Template (“CMRT”) Version 6.4 or higher to conduct a survey of all in-scope suppliers.</w:t>
      </w:r>
    </w:p>
    <w:p>
      <w:pPr>
        <w:spacing w:after="0" w:line="20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During the supplier survey, the Company contacted suppliers via the Assent Compliance Manager, a software-as-a-service (“SaaS”) platform provided by Assent that enables users to complete and track supplier communications and allows suppliers to upload completed CMRTs directly to the platform for validation, assessment and management. The Assent Compliance Manager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spacing w:after="0" w:line="21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color w:val="auto"/>
        </w:rPr>
        <w:t xml:space="preserve">As of </w:t>
      </w:r>
      <w:r>
        <w:rPr>
          <w:rFonts w:ascii="Times New Roman" w:cs="Times New Roman" w:eastAsia="Times New Roman" w:hAnsi="Times New Roman"/>
          <w:sz w:val="20"/>
          <w:szCs w:val="20"/>
          <w:b w:val="1"/>
          <w:bCs w:val="1"/>
          <w:color w:val="auto"/>
        </w:rPr>
        <w:t>April 4, 2026</w:t>
      </w:r>
      <w:r>
        <w:rPr>
          <w:rFonts w:ascii="Times New Roman" w:cs="Times New Roman" w:eastAsia="Times New Roman" w:hAnsi="Times New Roman"/>
          <w:sz w:val="20"/>
          <w:szCs w:val="20"/>
          <w:color w:val="auto"/>
        </w:rPr>
        <w:t>, there were 298 suppliers in scope of the conflict minerals program and 258 provided a completed CMRT. Arhaus’ total response rate for this reporting year was 86.58%. These metrics are summarized in the table below.</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66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Reporting year</w:t>
            </w:r>
          </w:p>
        </w:tc>
        <w:tc>
          <w:tcPr>
            <w:tcW w:w="36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Suppliers in scope</w:t>
            </w:r>
          </w:p>
        </w:tc>
        <w:tc>
          <w:tcPr>
            <w:tcW w:w="36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Responded</w:t>
            </w:r>
          </w:p>
        </w:tc>
      </w:tr>
      <w:tr>
        <w:trPr>
          <w:trHeight w:val="250"/>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2023</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285</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71.23</w:t>
            </w:r>
          </w:p>
        </w:tc>
      </w:tr>
      <w:tr>
        <w:trPr>
          <w:trHeight w:val="250"/>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2024</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310</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81.94</w:t>
            </w:r>
          </w:p>
        </w:tc>
      </w:tr>
      <w:tr>
        <w:trPr>
          <w:trHeight w:val="250"/>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2025</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298</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86.58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09" w:right="339" w:bottom="1440" w:gutter="0" w:footer="0" w:header="0"/>
        </w:sectPr>
      </w:pPr>
    </w:p>
    <w:bookmarkStart w:id="5" w:name="page6"/>
    <w:bookmarkEnd w:id="5"/>
    <w:p>
      <w:pPr>
        <w:ind w:right="400"/>
        <w:spacing w:after="0" w:line="269" w:lineRule="auto"/>
        <w:rPr>
          <w:sz w:val="20"/>
          <w:szCs w:val="20"/>
          <w:color w:val="auto"/>
        </w:rPr>
      </w:pPr>
      <w:r>
        <w:rPr>
          <w:rFonts w:ascii="Times New Roman" w:cs="Times New Roman" w:eastAsia="Times New Roman" w:hAnsi="Times New Roman"/>
          <w:sz w:val="20"/>
          <w:szCs w:val="20"/>
          <w:color w:val="auto"/>
        </w:rPr>
        <w:t>Through reasonable due diligence practices, Arhaus was able to take advantage of a broader set of country-of-origin data to complement efforts in establishing transparency in the supply chain.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Due Diligence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Design of Due Diligence</w:t>
      </w:r>
    </w:p>
    <w:p>
      <w:pPr>
        <w:spacing w:after="0" w:line="193"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Arhaus’ due diligence measures were informed by the framework in the OECD Guidance and the related supplements. The program aligns with the five steps for due diligence that are described by the OECD Guidance and the Company continues to evaluate market expectations for data collection and reporting to achieve continuous improvement opportunities.</w:t>
      </w:r>
    </w:p>
    <w:p>
      <w:pPr>
        <w:spacing w:after="0" w:line="20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Due diligence requires the Company’s necessary reliance on data provided by direct suppliers and third-party audit programs initiated by suppliers and/or smelters. There is a risk of incomplete or inaccurate data as the process cannot be fully owned by the Company. However, through active risk identification, and risk assessment, as well as continued outreach and process validation, the Company believes risk gaps can be mitigated.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Due Diligence Performed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1) Establish Strong Company Management Systems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Internal Compliance Team</w:t>
      </w:r>
    </w:p>
    <w:p>
      <w:pPr>
        <w:spacing w:after="0" w:line="247"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20"/>
          <w:szCs w:val="20"/>
          <w:color w:val="auto"/>
        </w:rPr>
        <w:t>Arhaus established a cross-functional Conflict Minerals Compliance Team led by the Vice President of Corporate Responsibility. The Conflict Minerals Compliance Team is responsible for implementing the conflict minerals compliance strategy and briefing senior management about the results of these due diligence efforts.</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Company also uses a third-party service provider, Assent, to assist with evaluating supply chain information regarding 3TGs, identifying potential risks, and developing and implementing additional due diligence steps that the Company plans to undertake with suppliers and/or respective stakeholders in regards to conflict minerals.</w:t>
      </w:r>
    </w:p>
    <w:p>
      <w:pPr>
        <w:spacing w:after="0" w:line="2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The Company leverages Assent’s Managed Services to work with dedicated program specialists who support Arhaus’ conflict minerals program. The Company communicates regularly with the Assent team to receive updates on program status. Each member of Assent’s Customer Success team is trained in conflict minerals compliance and understands the intricacies of reporting templates such as CMRT and CMRs, as well as Section 1502 of the Dodd-Frank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Control Systems</w:t>
      </w:r>
    </w:p>
    <w:p>
      <w:pPr>
        <w:spacing w:after="0" w:line="26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color w:val="auto"/>
        </w:rPr>
        <w:t>As outlined in its Standards for Suppliers/Code of Conduct, the Company expects that our suppliers be committed to responsible sourcing. We expect all suppliers manufacturing our products to partner with us to conduct necessary due diligence and provide appropriate information in order to facilitate our compliance with the conflict minerals law. Arhaus’ Standards for Suppliers/Code of Conduct applies to, and is provided to, all direct suppliers. These Standards contain, among other things, our expectations regarding the collection and provision of relevant information, onsite monitoring and assessments, transparency and traceability. As a part of Arhaus’ commitment to continuous improvement in our supply chain, it reserves the right to take corrective action, up to and including termination of the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00"/>
          </w:cols>
          <w:pgMar w:left="320" w:top="1413" w:right="379" w:bottom="1440" w:gutter="0" w:footer="0" w:header="0"/>
        </w:sectPr>
      </w:pPr>
    </w:p>
    <w:bookmarkStart w:id="6" w:name="page7"/>
    <w:bookmarkEnd w:id="6"/>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Supplier Engagement</w:t>
      </w:r>
    </w:p>
    <w:p>
      <w:pPr>
        <w:spacing w:after="0" w:line="2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Arhaus has a strong relationship with Tier 1 direct suppliers. As an extremely important part of the supply chain, Arhaus has leveraged processes and educational opportunities to ensure non-English speaking suppliers have access to a free platform to upload their CMRTs, help desk support, and other multilingual resources. Arhaus’ suppliers are able to leverage Assent’s team of supplier support specialists to ensure they receive appropriate support and understand how to properly complete a CMRT. Suppliers are provided guidance in their native language, if needed.</w:t>
      </w:r>
    </w:p>
    <w:p>
      <w:pPr>
        <w:spacing w:after="0" w:line="21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Company engages with buying agents and suppliers directly to request a valid (free of validated errors) CMRT for the products that they supply to the Company. With respect to the OECD requirement to strengthen engagement with suppliers, the Company has developed an internal procedure that includes a supplier risk identification process that may lead to further steps of supplier engagement in the form of escalations, such as in-person meetings and/or corrective actions. Feedback from this engagement process has allowed the Company to oversee improvements in supplier responses and supplier compliance for this initiative.</w:t>
      </w:r>
    </w:p>
    <w:p>
      <w:pPr>
        <w:spacing w:after="0" w:line="21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Additionally, the Company’s Standards for Suppliers/Code of Conduct is included as an exhibit in supplier contracts, outlining Arhaus’ expectation that suppliers will conduct the necessary due diligence and provide appropriate information to facilitate compliance with conflict minerals regulations.</w:t>
      </w:r>
    </w:p>
    <w:p>
      <w:pPr>
        <w:spacing w:after="0" w:line="18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The Company continues to place an emphasis on conflict minerals related supplier education and training. To accomplish this, Assent’s online resources are leveraged, and all in-scope suppliers have been provided with access to their library of conflict minerals training and support resources. Also, Assent’s automated feedback process that notifies suppliers of risks associated with their CMRT submission serves to educate suppliers of certain conflict minerals’ risks.</w:t>
      </w:r>
    </w:p>
    <w:p>
      <w:pPr>
        <w:spacing w:after="0" w:line="213"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The Company believes that the combination of the Standards for Suppliers/Code of Conduct and direct engagement with suppliers for conflict minerals training and support constitute a strong supplier engagement program.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Grievance Mechanisms</w:t>
      </w:r>
    </w:p>
    <w:p>
      <w:pPr>
        <w:spacing w:after="0" w:line="260"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The Company established grievance mechanisms whereby suppliers can report violations of Arhaus’ policies, including conflict minerals. Suppliers and others outside of Arhaus may contact the Conflict Minerals Team to report grievances via a dedicated email address that is provided in communications with suppliers. Violations or grievances at the industry level can be reported to the Responsible Materials Initiative (“RMI”) directly as well.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Maintain Records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adopted a policy to retain relevant documentation for a period of five years.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 Identifying &amp; Assessing Risk in the Supply Chain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Supplier Risk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ind w:right="280"/>
        <w:spacing w:after="0" w:line="258" w:lineRule="auto"/>
        <w:rPr>
          <w:sz w:val="20"/>
          <w:szCs w:val="20"/>
          <w:color w:val="auto"/>
        </w:rPr>
      </w:pPr>
      <w:r>
        <w:rPr>
          <w:rFonts w:ascii="Times New Roman" w:cs="Times New Roman" w:eastAsia="Times New Roman" w:hAnsi="Times New Roman"/>
          <w:sz w:val="20"/>
          <w:szCs w:val="20"/>
          <w:color w:val="auto"/>
        </w:rPr>
        <w:t>Risks associated with Tier 1 suppliers’ due diligence processes were assessed by their declaration responses on a CMRT, which the Assent Compliance Manager identifies automatically based on established criteria. These risks are addressed by Assent staff and members of the Company’s internal Conflict Minerals Team, who engage with suppliers to gather pertinent data and ask for corrective actions if needed, performing an overall assessment of the supplier’s conformity status, which is referred to as “conflict minerals status.”</w:t>
      </w:r>
    </w:p>
    <w:p>
      <w:pPr>
        <w:spacing w:after="0" w:line="19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20"/>
          <w:szCs w:val="20"/>
          <w:color w:val="auto"/>
        </w:rPr>
        <w:t>Risks at the supplier level may include non-responsive suppliers or incomplete CMRTs. In cases where a company-level CMRT (such as when a company declares there are no 3TGs in any of its products) is submitted, Arhaus is unable to determine if all of the specified smelters/refiners were used for 3TGs in the products supplied to the Company.</w:t>
      </w:r>
    </w:p>
    <w:p>
      <w:pPr>
        <w:spacing w:after="0" w:line="184"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20"/>
          <w:szCs w:val="20"/>
          <w:color w:val="auto"/>
        </w:rPr>
        <w:t xml:space="preserve">Assent’s supplier risk assessment (flagging suppliers’ risk as </w:t>
      </w:r>
      <w:r>
        <w:rPr>
          <w:rFonts w:ascii="Times New Roman" w:cs="Times New Roman" w:eastAsia="Times New Roman" w:hAnsi="Times New Roman"/>
          <w:sz w:val="20"/>
          <w:szCs w:val="20"/>
          <w:i w:val="1"/>
          <w:iCs w:val="1"/>
          <w:color w:val="auto"/>
        </w:rPr>
        <w:t>high, medium, low</w:t>
      </w:r>
      <w:r>
        <w:rPr>
          <w:rFonts w:ascii="Times New Roman" w:cs="Times New Roman" w:eastAsia="Times New Roman" w:hAnsi="Times New Roman"/>
          <w:sz w:val="20"/>
          <w:szCs w:val="20"/>
          <w:color w:val="auto"/>
        </w:rPr>
        <w:t>) can identify problematic suppliers in a company’s supply chain. The risk assessment is derived from the smelter validation process, which establishes risk at the smelter level via an analysis that considers multiple conflict minerals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Smelter/Refiners Risk Evaluation</w:t>
      </w:r>
    </w:p>
    <w:p>
      <w:pPr>
        <w:spacing w:after="0" w:line="2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Other supply chain risks were identified by assessing the due diligence practices and audit status of smelters/refiners identified in the supply chain by upstream suppliers that listed mineral processing facilities on their CMRT declarations. Assent’s Smelter validation program compared listed facilities to the list of smelters/refiners consolidated by the RMI to ensure that the facilities met the recognized definition of a 3TGs processing facility that was operational during the 2024 calendar year.</w:t>
      </w:r>
    </w:p>
    <w:p>
      <w:pPr>
        <w:spacing w:after="0" w:line="21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9"/>
          <w:szCs w:val="19"/>
          <w:color w:val="auto"/>
        </w:rPr>
        <w:t>Assent determined if the smelter had been audited against a standard in conformance with the OECD Guidance, such as the Responsible Minerals Assurance Process (“RMAP”). Arhaus does not have a direct relationship with smelters/refiners, and does not perform direct audits of these entities within their pre-supply chain. Smelters that are conformant to RMAP audit standards are considered to have their sourcing validated as “conflict free or responsibly sourced.” In cases where the smelter/refiner’s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w:t>
      </w:r>
    </w:p>
    <w:p>
      <w:pPr>
        <w:spacing w:after="0" w:line="19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color w:val="auto"/>
        </w:rPr>
        <w:t>Each facility that meets the definition of a smelter or refiner of a 3TG mineral is assessed according to red-flag indicators defined in the OECD Guidance. Assent uses numerous factors to determine the level of risk that each smelter poses to the supply chain by identifying red flags. These factors include:</w:t>
      </w:r>
    </w:p>
    <w:p>
      <w:pPr>
        <w:spacing w:after="0" w:line="188"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proximity to Conflict-Affected and High-Risk Areas.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Known mineral source country of origin.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RMAP audit status.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Credible evidence of unethical or conflict sourcing.</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Peer assessments conducted by credible third-party sources.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Sanctions risks.</w:t>
      </w:r>
    </w:p>
    <w:p>
      <w:pPr>
        <w:spacing w:after="0" w:line="23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Risk mitigation activities are initiated whenever a supplier’s CMRT reports facilities of concern. Through Assent, suppliers with submissions that included any smelters of concern were provided with feedback instructing suppliers to take their own independent risk mitigation actions. Examples include the submission of a product-specific CMRT to better identify the connection to products that they supply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13" w:right="339" w:bottom="1440" w:gutter="0" w:footer="0" w:header="0"/>
        </w:sectPr>
      </w:pPr>
    </w:p>
    <w:bookmarkStart w:id="8" w:name="page9"/>
    <w:bookmarkEnd w:id="8"/>
    <w:p>
      <w:pPr>
        <w:ind w:right="580"/>
        <w:spacing w:after="0" w:line="280" w:lineRule="auto"/>
        <w:rPr>
          <w:sz w:val="20"/>
          <w:szCs w:val="20"/>
          <w:color w:val="auto"/>
        </w:rPr>
      </w:pPr>
      <w:r>
        <w:rPr>
          <w:rFonts w:ascii="Times New Roman" w:cs="Times New Roman" w:eastAsia="Times New Roman" w:hAnsi="Times New Roman"/>
          <w:sz w:val="20"/>
          <w:szCs w:val="20"/>
          <w:color w:val="auto"/>
        </w:rPr>
        <w:t>Arhaus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Additional escalation may have been necessary to address any continued sourcing from these smelters of concern. </w:t>
      </w:r>
      <w:r>
        <w:rPr>
          <w:rFonts w:ascii="Times New Roman" w:cs="Times New Roman" w:eastAsia="Times New Roman" w:hAnsi="Times New Roman"/>
          <w:sz w:val="20"/>
          <w:szCs w:val="20"/>
          <w:color w:val="414142"/>
        </w:rPr>
        <w:t>In addition,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414142"/>
        </w:rPr>
        <w:t>suppliers are guided to the educational materials on mitigating the risks identified through the data collection process</w:t>
      </w:r>
      <w:r>
        <w:rPr>
          <w:rFonts w:ascii="Arial" w:cs="Arial" w:eastAsia="Arial" w:hAnsi="Arial"/>
          <w:sz w:val="21"/>
          <w:szCs w:val="21"/>
          <w:color w:val="414142"/>
        </w:rPr>
        <w:t>.</w:t>
      </w:r>
    </w:p>
    <w:p>
      <w:pPr>
        <w:spacing w:after="0" w:line="1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Suppliers are also evaluated on program strength, which can assist in making key risk mitigation decisions as the program progresses. The criteria used to evaluate the strength of the program is based on certain questions in the CMRT related to the suppliers’ conflict minerals practices and policies.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3) Design &amp; Implement A Strategy to Respond to Risks</w:t>
      </w:r>
    </w:p>
    <w:p>
      <w:pPr>
        <w:spacing w:after="0" w:line="26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Together with Assent, Arhaus developed processes to assess risks in the supply chain through which the conflict minerals program is implemented, managed, and monitored. As the program progresses, escalations will be sent to non-responsive suppliers to outline the importance of a response via CMRTs and to outline the required cooperation for compliance to the conflict minerals rules and the Company’s expectations.</w:t>
      </w:r>
    </w:p>
    <w:p>
      <w:pPr>
        <w:spacing w:after="0" w:line="21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Feedback on supplier CMRT submissions, including initial data validation and smelter due diligence, is given directly to suppliers and educational resources are provided to assist suppliers in corrective action methods or to improve their internal programs. In cases where suppliers are continuously non-responsive or are not committed to corrective action plans, the Company will assess if replacing that supplier is feasible. The results of the program and risk assessment are shared with the relevant business units and the Arhaus Leadership Team to ensure transparency within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 Carry Out Independent Third-Party Audit of Supply Chain Due Diligence at Identified Points in the Supply Chain</w:t>
      </w:r>
    </w:p>
    <w:p>
      <w:pPr>
        <w:spacing w:after="0" w:line="260"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Arhaus does not have a direct relationship with any 3TG smelters/refiners and does not perform or direct audits of these entities within the supply chain. Instead, the Company relies on third-party audits of smelters/refiners (industry recognized audit/assessment programs). As an example, RMAP uses independent private-sector auditors, and audits the source, including the mines of origin, and the chain of custody of the conflict minerals used by smelters/refiners that agree to participate in the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5) Report Annually on Supply Chain Due Diligence</w:t>
      </w:r>
    </w:p>
    <w:p>
      <w:pPr>
        <w:spacing w:after="0" w:line="2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Arhaus has published the Form SD for the year ended December 31, 2025. This report is available on the Investor Relations section of the Company’s website at ir.arhaus.com. Information found on or accessed through the Company website is not considered part of this report and is not incorporated by reference herein. Arhaus has also publicly filed a Form SD and this report with the U.S. Securities and Exchange Commission (“SEC”).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Due Diligence Results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Supply Chain Outreach Results</w:t>
      </w:r>
    </w:p>
    <w:p>
      <w:pPr>
        <w:spacing w:after="0" w:line="1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Supply chain outreach is required to identify the upstream sources of origin of tin, tantalum, tungsten, and gold. Following the industry standard process, CMRTs are sent to and requested from Tier 1 suppliers, who are expected to follow this process until the smelter and refiner sources are identified. The following is the result of the outreach conducted by Arhaus for the 2025 reporting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0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i w:val="1"/>
          <w:iCs w:val="1"/>
          <w:u w:val="single" w:color="auto"/>
          <w:color w:val="auto"/>
        </w:rPr>
        <w:t>Supply Chain Outreach Metrics</w:t>
      </w: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500" w:type="dxa"/>
            <w:vAlign w:val="bottom"/>
            <w:tcBorders>
              <w:top w:val="single" w:sz="8" w:color="auto"/>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Number of in-scope suppliers</w:t>
            </w:r>
          </w:p>
        </w:tc>
        <w:tc>
          <w:tcPr>
            <w:tcW w:w="540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Response rate</w:t>
            </w:r>
          </w:p>
        </w:tc>
      </w:tr>
      <w:tr>
        <w:trPr>
          <w:trHeight w:val="378"/>
        </w:trPr>
        <w:tc>
          <w:tcPr>
            <w:tcW w:w="5500" w:type="dxa"/>
            <w:vAlign w:val="bottom"/>
            <w:tcBorders>
              <w:left w:val="single" w:sz="8" w:color="auto"/>
              <w:right w:val="single" w:sz="8" w:color="auto"/>
            </w:tcBorders>
          </w:tcPr>
          <w:p>
            <w:pPr>
              <w:jc w:val="right"/>
              <w:ind w:right="2557"/>
              <w:spacing w:after="0"/>
              <w:rPr>
                <w:sz w:val="20"/>
                <w:szCs w:val="20"/>
                <w:color w:val="auto"/>
              </w:rPr>
            </w:pPr>
            <w:r>
              <w:rPr>
                <w:rFonts w:ascii="Times New Roman" w:cs="Times New Roman" w:eastAsia="Times New Roman" w:hAnsi="Times New Roman"/>
                <w:sz w:val="20"/>
                <w:szCs w:val="20"/>
                <w:color w:val="auto"/>
              </w:rPr>
              <w:t>298</w:t>
            </w:r>
          </w:p>
        </w:tc>
        <w:tc>
          <w:tcPr>
            <w:tcW w:w="5400" w:type="dxa"/>
            <w:vAlign w:val="bottom"/>
            <w:tcBorders>
              <w:right w:val="single" w:sz="8" w:color="auto"/>
            </w:tcBorders>
          </w:tcPr>
          <w:p>
            <w:pPr>
              <w:jc w:val="right"/>
              <w:ind w:right="2317"/>
              <w:spacing w:after="0"/>
              <w:rPr>
                <w:sz w:val="20"/>
                <w:szCs w:val="20"/>
                <w:color w:val="auto"/>
              </w:rPr>
            </w:pPr>
            <w:r>
              <w:rPr>
                <w:rFonts w:ascii="Times New Roman" w:cs="Times New Roman" w:eastAsia="Times New Roman" w:hAnsi="Times New Roman"/>
                <w:sz w:val="20"/>
                <w:szCs w:val="20"/>
                <w:color w:val="auto"/>
              </w:rPr>
              <w:t>86.58%</w:t>
            </w:r>
          </w:p>
        </w:tc>
      </w:tr>
      <w:tr>
        <w:trPr>
          <w:trHeight w:val="143"/>
        </w:trPr>
        <w:tc>
          <w:tcPr>
            <w:tcW w:w="5500" w:type="dxa"/>
            <w:vAlign w:val="bottom"/>
            <w:tcBorders>
              <w:left w:val="single" w:sz="8" w:color="auto"/>
              <w:bottom w:val="single" w:sz="8" w:color="auto"/>
              <w:right w:val="single" w:sz="8" w:color="auto"/>
            </w:tcBorders>
          </w:tcPr>
          <w:p>
            <w:pPr>
              <w:spacing w:after="0"/>
              <w:rPr>
                <w:sz w:val="12"/>
                <w:szCs w:val="12"/>
                <w:color w:val="auto"/>
              </w:rPr>
            </w:pPr>
          </w:p>
        </w:tc>
        <w:tc>
          <w:tcPr>
            <w:tcW w:w="5400" w:type="dxa"/>
            <w:vAlign w:val="bottom"/>
            <w:tcBorders>
              <w:bottom w:val="single" w:sz="8" w:color="auto"/>
              <w:right w:val="single" w:sz="8" w:color="auto"/>
            </w:tcBorders>
          </w:tcPr>
          <w:p>
            <w:pPr>
              <w:spacing w:after="0"/>
              <w:rPr>
                <w:sz w:val="12"/>
                <w:szCs w:val="12"/>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Upstream Data Transparency</w:t>
      </w:r>
    </w:p>
    <w:p>
      <w:pPr>
        <w:spacing w:after="0" w:line="19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Appendix A includes all smelters/refiners that suppliers listed in completed CMRTs that met the recognized definition of a 3TGs processing facility and were operational during the 2025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actually processed the 3TGs contained in the Company’s products.</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Although the potential for over-reporting is understood, Arhaus has taken measures to validate all smelter/refiner data against validated audit programs and databases intended to verify the material types and mine sources of origin. From the gathered responses, 25 smelters that potentially posed a risk due to the presence of some red flag indicators were identified.</w:t>
      </w:r>
    </w:p>
    <w:p>
      <w:pPr>
        <w:spacing w:after="0" w:line="208"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Suppliers that identified these specific smelters of concern on their CMRT were contacted in accordance with the OECD Guidance, as stipulated in the previous sections.</w:t>
      </w: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500" w:type="dxa"/>
            <w:vAlign w:val="bottom"/>
            <w:tcBorders>
              <w:top w:val="single" w:sz="8" w:color="auto"/>
              <w:left w:val="single" w:sz="8" w:color="auto"/>
              <w:bottom w:val="single" w:sz="8" w:color="auto"/>
              <w:right w:val="single" w:sz="8" w:color="auto"/>
            </w:tcBorders>
            <w:shd w:val="clear" w:color="auto" w:fill="CCEEFF"/>
          </w:tcPr>
          <w:p>
            <w:pPr>
              <w:jc w:val="center"/>
              <w:ind w:right="6"/>
              <w:spacing w:after="0"/>
              <w:rPr>
                <w:sz w:val="20"/>
                <w:szCs w:val="20"/>
                <w:color w:val="auto"/>
              </w:rPr>
            </w:pPr>
            <w:r>
              <w:rPr>
                <w:rFonts w:ascii="Times New Roman" w:cs="Times New Roman" w:eastAsia="Times New Roman" w:hAnsi="Times New Roman"/>
                <w:sz w:val="22"/>
                <w:szCs w:val="22"/>
                <w:b w:val="1"/>
                <w:bCs w:val="1"/>
                <w:color w:val="auto"/>
                <w:w w:val="95"/>
              </w:rPr>
              <w:t>Status</w:t>
            </w:r>
          </w:p>
        </w:tc>
        <w:tc>
          <w:tcPr>
            <w:tcW w:w="5400" w:type="dxa"/>
            <w:vAlign w:val="bottom"/>
            <w:tcBorders>
              <w:top w:val="single" w:sz="8" w:color="auto"/>
              <w:bottom w:val="single" w:sz="8" w:color="auto"/>
              <w:right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22"/>
                <w:szCs w:val="22"/>
                <w:b w:val="1"/>
                <w:bCs w:val="1"/>
                <w:color w:val="auto"/>
              </w:rPr>
              <w:t>Number of identified smelters/refiners</w:t>
            </w:r>
          </w:p>
        </w:tc>
      </w:tr>
      <w:tr>
        <w:trPr>
          <w:trHeight w:val="223"/>
        </w:trPr>
        <w:tc>
          <w:tcPr>
            <w:tcW w:w="5500" w:type="dxa"/>
            <w:vAlign w:val="bottom"/>
            <w:tcBorders>
              <w:left w:val="single" w:sz="8" w:color="auto"/>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8"/>
                <w:szCs w:val="18"/>
                <w:color w:val="auto"/>
              </w:rPr>
              <w:t>RMAP Conformant</w:t>
            </w: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23"/>
        </w:trPr>
        <w:tc>
          <w:tcPr>
            <w:tcW w:w="5500" w:type="dxa"/>
            <w:vAlign w:val="bottom"/>
            <w:tcBorders>
              <w:left w:val="single" w:sz="8" w:color="auto"/>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8"/>
                <w:szCs w:val="18"/>
                <w:color w:val="auto"/>
              </w:rPr>
              <w:t>RMAP Active</w:t>
            </w: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23"/>
        </w:trPr>
        <w:tc>
          <w:tcPr>
            <w:tcW w:w="5500" w:type="dxa"/>
            <w:vAlign w:val="bottom"/>
            <w:tcBorders>
              <w:left w:val="single" w:sz="8" w:color="auto"/>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8"/>
                <w:szCs w:val="18"/>
                <w:color w:val="auto"/>
                <w:w w:val="98"/>
              </w:rPr>
              <w:t>Not Enrolled</w:t>
            </w: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23"/>
        </w:trPr>
        <w:tc>
          <w:tcPr>
            <w:tcW w:w="5500" w:type="dxa"/>
            <w:vAlign w:val="bottom"/>
            <w:tcBorders>
              <w:left w:val="single" w:sz="8" w:color="auto"/>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8"/>
                <w:szCs w:val="18"/>
                <w:color w:val="auto"/>
                <w:w w:val="99"/>
              </w:rPr>
              <w:t>Non-Conformant</w:t>
            </w: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Country of Origin</w:t>
      </w:r>
    </w:p>
    <w:p>
      <w:pPr>
        <w:spacing w:after="0" w:line="19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0"/>
          <w:szCs w:val="20"/>
          <w:color w:val="auto"/>
        </w:rPr>
        <w:t>Appendix B includes an aggregated list of countries of origin from which the reported facilities collectively source 3TGs, based on reasonable identification of country of origin data obtained via Assent’s supply chain database. As mentioned in the above section, it is understood that overreporting might occur which could result in Appendix B having more countries than those strictly relevant to the Company’s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60"/>
          </w:cols>
          <w:pgMar w:left="320" w:top="1409"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Steps to Be Taken to Mitigate Risk</w:t>
      </w:r>
    </w:p>
    <w:p>
      <w:pPr>
        <w:spacing w:after="0" w:line="242"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For RY 2026 Arhaus intends to take, or is evaluating, the following steps to improve the due diligence conducted to further mitigate any risk that the necessary 3TGs in the Company’s products could originate from Conflict-Affected and High-Risk Areas:</w:t>
      </w:r>
    </w:p>
    <w:p>
      <w:pPr>
        <w:spacing w:after="0" w:line="17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evaluate upstream sources through a broader set of tools to evaluate risk. These include, but are not limited to:</w:t>
      </w:r>
    </w:p>
    <w:p>
      <w:pPr>
        <w:spacing w:after="0" w:line="2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a comprehensive smelter and refiner library with detailed status and notes for each entity.</w:t>
      </w:r>
    </w:p>
    <w:p>
      <w:pPr>
        <w:spacing w:after="0" w:line="1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Scanning for verifiable media sources on each smelter and refiner to flag risk issues.</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Comparing the list of smelters/refiners against government watch and denied parties lists.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with suppliers more closely, and provide more information and training resources regarding responsible sourcing of 3TGs.</w:t>
      </w:r>
    </w:p>
    <w:p>
      <w:pPr>
        <w:spacing w:after="0" w:line="6" w:lineRule="exact"/>
        <w:rPr>
          <w:rFonts w:ascii="Times New Roman" w:cs="Times New Roman" w:eastAsia="Times New Roman" w:hAnsi="Times New Roman"/>
          <w:sz w:val="20"/>
          <w:szCs w:val="20"/>
          <w:color w:val="auto"/>
        </w:rPr>
      </w:pPr>
    </w:p>
    <w:p>
      <w:pPr>
        <w:ind w:left="660" w:right="200" w:hanging="328"/>
        <w:spacing w:after="0" w:line="25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Encourage suppliers to have due diligence procedures in place for their supply chains to improve the content of the responses from such suppliers.</w:t>
      </w:r>
    </w:p>
    <w:p>
      <w:pPr>
        <w:ind w:left="660" w:right="120" w:hanging="328"/>
        <w:spacing w:after="0" w:line="24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include a conflict minerals flow-down clause in new or renewed supplier contracts, as well as included in the terms and conditions of each purchase order issued.</w:t>
      </w:r>
    </w:p>
    <w:p>
      <w:pPr>
        <w:spacing w:after="0" w:line="1" w:lineRule="exact"/>
        <w:rPr>
          <w:rFonts w:ascii="Times New Roman" w:cs="Times New Roman" w:eastAsia="Times New Roman" w:hAnsi="Times New Roman"/>
          <w:sz w:val="20"/>
          <w:szCs w:val="20"/>
          <w:color w:val="auto"/>
        </w:rPr>
      </w:pPr>
    </w:p>
    <w:p>
      <w:pPr>
        <w:ind w:left="660" w:right="520" w:hanging="328"/>
        <w:spacing w:after="0" w:line="25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OECD Guidance process, increase the emphasis on clean and validated smelter and refiner information from the supply chain through feedback and detailed smelter analysis.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74"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auto"/>
        </w:rPr>
        <w:t>Certain statements contained herein, including statements under the heading “Steps to Be Taken to Mitigate Risks”, are not based on historical fact and are “forward-looking statements” within the meaning of applicable securities laws.</w:t>
      </w:r>
    </w:p>
    <w:p>
      <w:pPr>
        <w:spacing w:after="0" w:line="173" w:lineRule="exact"/>
        <w:rPr>
          <w:sz w:val="20"/>
          <w:szCs w:val="20"/>
          <w:color w:val="auto"/>
        </w:rPr>
      </w:pPr>
    </w:p>
    <w:p>
      <w:pPr>
        <w:ind w:right="440"/>
        <w:spacing w:after="0" w:line="249" w:lineRule="auto"/>
        <w:rPr>
          <w:sz w:val="20"/>
          <w:szCs w:val="20"/>
          <w:color w:val="auto"/>
        </w:rPr>
      </w:pPr>
      <w:r>
        <w:rPr>
          <w:rFonts w:ascii="Times New Roman" w:cs="Times New Roman" w:eastAsia="Times New Roman" w:hAnsi="Times New Roman"/>
          <w:sz w:val="19"/>
          <w:szCs w:val="19"/>
          <w:color w:val="auto"/>
        </w:rPr>
        <w:t>Forward-looking statements can generally be identified by the use of forward-looking terminology, including, but not limited to, “may,” “could,” “seek,” “guidance,” “predict,” “potential,” “likely,” “believe,” “will,” “expect,” “anticipate,” “estimate,” “plan,” “intend,”</w:t>
      </w:r>
    </w:p>
    <w:p>
      <w:pPr>
        <w:spacing w:after="0" w:line="1"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20"/>
          <w:szCs w:val="20"/>
          <w:color w:val="auto"/>
        </w:rPr>
        <w:t>“forecast,” or variations of these terms and similar expressions, or the negative of these terms or similar expressions. Past performance is not a guarantee of future results or returns and no representation or warranty is made regarding future performance. Such forward-looking</w:t>
      </w:r>
    </w:p>
    <w:p>
      <w:pPr>
        <w:spacing w:after="0" w:line="226" w:lineRule="auto"/>
        <w:rPr>
          <w:sz w:val="20"/>
          <w:szCs w:val="20"/>
          <w:color w:val="auto"/>
        </w:rPr>
      </w:pPr>
      <w:r>
        <w:rPr>
          <w:rFonts w:ascii="Times New Roman" w:cs="Times New Roman" w:eastAsia="Times New Roman" w:hAnsi="Times New Roman"/>
          <w:sz w:val="20"/>
          <w:szCs w:val="20"/>
          <w:color w:val="auto"/>
        </w:rPr>
        <w:t>statements involve known and unknown risks, uncertainties and other important factors beyond our control that could cause our actual</w:t>
      </w:r>
    </w:p>
    <w:p>
      <w:pPr>
        <w:jc w:val="both"/>
        <w:ind w:right="40"/>
        <w:spacing w:after="0" w:line="229" w:lineRule="auto"/>
        <w:rPr>
          <w:sz w:val="20"/>
          <w:szCs w:val="20"/>
          <w:color w:val="auto"/>
        </w:rPr>
      </w:pPr>
      <w:r>
        <w:rPr>
          <w:rFonts w:ascii="Times New Roman" w:cs="Times New Roman" w:eastAsia="Times New Roman" w:hAnsi="Times New Roman"/>
          <w:sz w:val="19"/>
          <w:szCs w:val="19"/>
          <w:color w:val="auto"/>
        </w:rPr>
        <w:t>results, performance or achievements to be materially different from the expected results, performance or achievements expressed or implied by such forward-looking statements. These risks and uncertainties include, but are not limited to: our ability to manage and maintain the</w:t>
      </w:r>
    </w:p>
    <w:p>
      <w:pPr>
        <w:spacing w:after="0"/>
        <w:rPr>
          <w:sz w:val="20"/>
          <w:szCs w:val="20"/>
          <w:color w:val="auto"/>
        </w:rPr>
      </w:pPr>
      <w:r>
        <w:rPr>
          <w:rFonts w:ascii="Times New Roman" w:cs="Times New Roman" w:eastAsia="Times New Roman" w:hAnsi="Times New Roman"/>
          <w:sz w:val="19"/>
          <w:szCs w:val="19"/>
          <w:color w:val="auto"/>
        </w:rPr>
        <w:t>growth rate of our business; our ability to obtain quality merchandise in sufficient quantities; challenges with the planning or implementation</w:t>
      </w:r>
    </w:p>
    <w:p>
      <w:pPr>
        <w:ind w:right="180"/>
        <w:spacing w:after="0" w:line="229" w:lineRule="auto"/>
        <w:rPr>
          <w:sz w:val="20"/>
          <w:szCs w:val="20"/>
          <w:color w:val="auto"/>
        </w:rPr>
      </w:pPr>
      <w:r>
        <w:rPr>
          <w:rFonts w:ascii="Times New Roman" w:cs="Times New Roman" w:eastAsia="Times New Roman" w:hAnsi="Times New Roman"/>
          <w:sz w:val="19"/>
          <w:szCs w:val="19"/>
          <w:color w:val="auto"/>
        </w:rPr>
        <w:t>of our technology upgrades, including a new enterprise resource planning system; disruption in our receiving and distribution system, including delays in the integration of our distribution centers and the possibility that we may not realize the anticipated benefits of multiple</w:t>
      </w:r>
    </w:p>
    <w:p>
      <w:pPr>
        <w:spacing w:after="0" w:line="227" w:lineRule="auto"/>
        <w:rPr>
          <w:sz w:val="20"/>
          <w:szCs w:val="20"/>
          <w:color w:val="auto"/>
        </w:rPr>
      </w:pPr>
      <w:r>
        <w:rPr>
          <w:rFonts w:ascii="Times New Roman" w:cs="Times New Roman" w:eastAsia="Times New Roman" w:hAnsi="Times New Roman"/>
          <w:sz w:val="20"/>
          <w:szCs w:val="20"/>
          <w:color w:val="auto"/>
        </w:rPr>
        <w:t>distribution centers; effects of new or proposed tariffs and changes to international trade policies and agreements; the possibility of</w:t>
      </w:r>
    </w:p>
    <w:p>
      <w:pPr>
        <w:ind w:right="60"/>
        <w:spacing w:after="0" w:line="229" w:lineRule="auto"/>
        <w:rPr>
          <w:sz w:val="20"/>
          <w:szCs w:val="20"/>
          <w:color w:val="auto"/>
        </w:rPr>
      </w:pPr>
      <w:r>
        <w:rPr>
          <w:rFonts w:ascii="Times New Roman" w:cs="Times New Roman" w:eastAsia="Times New Roman" w:hAnsi="Times New Roman"/>
          <w:sz w:val="19"/>
          <w:szCs w:val="19"/>
          <w:color w:val="auto"/>
        </w:rPr>
        <w:t>cyberattacks and our ability to maintain adequate cybersecurity systems and procedures; loss, corruption and misappropriation of data and information relating to clients and employees; changes in and compliance with applicable data privacy rules and regulations; risks as a result</w:t>
      </w:r>
    </w:p>
    <w:p>
      <w:pPr>
        <w:spacing w:after="0"/>
        <w:rPr>
          <w:sz w:val="20"/>
          <w:szCs w:val="20"/>
          <w:color w:val="auto"/>
        </w:rPr>
      </w:pPr>
      <w:r>
        <w:rPr>
          <w:rFonts w:ascii="Times New Roman" w:cs="Times New Roman" w:eastAsia="Times New Roman" w:hAnsi="Times New Roman"/>
          <w:sz w:val="19"/>
          <w:szCs w:val="19"/>
          <w:color w:val="auto"/>
        </w:rPr>
        <w:t>of constraints in our supply chain or disruptions due to geopolitical events such as acts of war and/or terrorism or other hostilities; a failure of</w:t>
      </w:r>
    </w:p>
    <w:p>
      <w:pPr>
        <w:jc w:val="both"/>
        <w:ind w:right="40"/>
        <w:spacing w:after="0" w:line="229" w:lineRule="auto"/>
        <w:rPr>
          <w:sz w:val="20"/>
          <w:szCs w:val="20"/>
          <w:color w:val="auto"/>
        </w:rPr>
      </w:pPr>
      <w:r>
        <w:rPr>
          <w:rFonts w:ascii="Times New Roman" w:cs="Times New Roman" w:eastAsia="Times New Roman" w:hAnsi="Times New Roman"/>
          <w:sz w:val="19"/>
          <w:szCs w:val="19"/>
          <w:color w:val="auto"/>
        </w:rPr>
        <w:t>our vendors to meet our quality standards; declines in general economic conditions that affect consumer confidence and consumer spending that could adversely affect our revenue; our ability to anticipate changes in consumer preferences; risks related to maintaining and increasing</w:t>
      </w:r>
    </w:p>
    <w:p>
      <w:pPr>
        <w:spacing w:after="0" w:line="2" w:lineRule="exact"/>
        <w:rPr>
          <w:sz w:val="20"/>
          <w:szCs w:val="20"/>
          <w:color w:val="auto"/>
        </w:rPr>
      </w:pPr>
    </w:p>
    <w:p>
      <w:pPr>
        <w:jc w:val="both"/>
        <w:ind w:right="40"/>
        <w:spacing w:after="0" w:line="232" w:lineRule="auto"/>
        <w:rPr>
          <w:sz w:val="20"/>
          <w:szCs w:val="20"/>
          <w:color w:val="auto"/>
        </w:rPr>
      </w:pPr>
      <w:r>
        <w:rPr>
          <w:rFonts w:ascii="Times New Roman" w:cs="Times New Roman" w:eastAsia="Times New Roman" w:hAnsi="Times New Roman"/>
          <w:sz w:val="20"/>
          <w:szCs w:val="20"/>
          <w:color w:val="auto"/>
        </w:rPr>
        <w:t>Showroom traffic and sales; our ability to compete in our market; our ability to adequately protect our intellectual property; compliance with applicable governmental regulations; effectively managing our eCommerce sales channel and digital marketing efforts; our reliance on third-party transportation carriers and risks associated with freight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00"/>
          </w:cols>
          <w:pgMar w:left="320" w:top="141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color w:val="auto"/>
        </w:rPr>
        <w:t>transportation costs; and compliance with SEC rules and regulations as a public reporting company. These factors should not be construed as</w:t>
      </w:r>
    </w:p>
    <w:p>
      <w:pPr>
        <w:spacing w:after="0" w:line="2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exhaustive. Further information on potential factors that could affect the financial results of the Company and its forward-looking statements is included in the Company’s filings with the Securities and Exchange Commission. The Company assumes no obligation to update any</w:t>
      </w:r>
    </w:p>
    <w:p>
      <w:pPr>
        <w:spacing w:after="0" w:line="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forward-looking statement, except as may be required by law. These forward-looking statements speak only as of the date of this release. All forward-looking statements are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60"/>
          </w:cols>
          <w:pgMar w:left="320" w:top="1399" w:right="419" w:bottom="1440" w:gutter="0" w:footer="0" w:header="0"/>
        </w:sectPr>
      </w:pPr>
    </w:p>
    <w:bookmarkStart w:id="12" w:name="page13"/>
    <w:bookmarkEnd w:id="12"/>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Appendix A: Smelter List</w:t>
      </w: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13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2"/>
                <w:szCs w:val="22"/>
                <w:b w:val="1"/>
                <w:bCs w:val="1"/>
                <w:color w:val="auto"/>
              </w:rPr>
              <w:t>Metal</w:t>
            </w:r>
          </w:p>
        </w:tc>
        <w:tc>
          <w:tcPr>
            <w:tcW w:w="496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Smelter Name</w:t>
            </w:r>
          </w:p>
        </w:tc>
        <w:tc>
          <w:tcPr>
            <w:tcW w:w="158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b w:val="1"/>
                <w:bCs w:val="1"/>
                <w:color w:val="auto"/>
              </w:rPr>
              <w:t>Smelter Facility</w:t>
            </w:r>
          </w:p>
        </w:tc>
        <w:tc>
          <w:tcPr>
            <w:tcW w:w="156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Smelter ID</w:t>
            </w:r>
          </w:p>
        </w:tc>
        <w:tc>
          <w:tcPr>
            <w:tcW w:w="186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22"/>
                <w:szCs w:val="22"/>
                <w:b w:val="1"/>
                <w:bCs w:val="1"/>
                <w:color w:val="auto"/>
              </w:rPr>
              <w:t>RMAP Audit</w:t>
            </w:r>
          </w:p>
        </w:tc>
      </w:tr>
      <w:tr>
        <w:trPr>
          <w:trHeight w:val="203"/>
        </w:trPr>
        <w:tc>
          <w:tcPr>
            <w:tcW w:w="130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4960" w:type="dxa"/>
            <w:vAlign w:val="bottom"/>
            <w:tcBorders>
              <w:bottom w:val="single" w:sz="8" w:color="auto"/>
              <w:right w:val="single" w:sz="8" w:color="auto"/>
            </w:tcBorders>
            <w:shd w:val="clear" w:color="auto" w:fill="CCEEFF"/>
          </w:tcPr>
          <w:p>
            <w:pPr>
              <w:spacing w:after="0"/>
              <w:rPr>
                <w:sz w:val="17"/>
                <w:szCs w:val="17"/>
                <w:color w:val="auto"/>
              </w:rPr>
            </w:pPr>
          </w:p>
        </w:tc>
        <w:tc>
          <w:tcPr>
            <w:tcW w:w="1580" w:type="dxa"/>
            <w:vAlign w:val="bottom"/>
            <w:tcBorders>
              <w:bottom w:val="single" w:sz="8" w:color="auto"/>
              <w:right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22"/>
                <w:szCs w:val="22"/>
                <w:b w:val="1"/>
                <w:bCs w:val="1"/>
                <w:color w:val="auto"/>
              </w:rPr>
              <w:t>Location</w:t>
            </w:r>
          </w:p>
        </w:tc>
        <w:tc>
          <w:tcPr>
            <w:tcW w:w="1560" w:type="dxa"/>
            <w:vAlign w:val="bottom"/>
            <w:tcBorders>
              <w:bottom w:val="single" w:sz="8" w:color="auto"/>
              <w:right w:val="single" w:sz="8" w:color="auto"/>
            </w:tcBorders>
            <w:shd w:val="clear" w:color="auto" w:fill="CCEEFF"/>
          </w:tcPr>
          <w:p>
            <w:pPr>
              <w:spacing w:after="0"/>
              <w:rPr>
                <w:sz w:val="17"/>
                <w:szCs w:val="17"/>
                <w:color w:val="auto"/>
              </w:rPr>
            </w:pPr>
          </w:p>
        </w:tc>
        <w:tc>
          <w:tcPr>
            <w:tcW w:w="1860" w:type="dxa"/>
            <w:vAlign w:val="bottom"/>
            <w:tcBorders>
              <w:bottom w:val="single" w:sz="8" w:color="auto"/>
              <w:right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22"/>
                <w:szCs w:val="22"/>
                <w:b w:val="1"/>
                <w:bCs w:val="1"/>
                <w:color w:val="auto"/>
              </w:rPr>
              <w:t>Status</w:t>
            </w:r>
          </w:p>
        </w:tc>
      </w:tr>
      <w:tr>
        <w:trPr>
          <w:trHeight w:val="284"/>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Dongguan Best Alloys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CID000377</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1"/>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China Tin Group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CID001070</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Tin Smelting Branch of Yunnan Tin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CID002180</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1"/>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Guangdong Hanhe Non-Ferrous Metal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CID003116</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1"/>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Yunnan Yunfan Non-ferrous Metals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CID003397</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Gold</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Shandong Zhaojin Gold &amp; Silver Refinery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CID001622</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1"/>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PT Mitra Stania Prima</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Indonesia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CID001453</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Tungsten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Ganzhou Jiangwu Ferrotungsten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CID002315</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Non Conformant</w:t>
            </w:r>
          </w:p>
        </w:tc>
      </w:tr>
      <w:tr>
        <w:trPr>
          <w:trHeight w:val="291"/>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Fenix Metals</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Poland</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CID000468</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Gejiu Non-Ferrous Metal Processing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CID000538</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43"/>
        </w:trPr>
        <w:tc>
          <w:tcPr>
            <w:tcW w:w="130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Metallic Resources, Inc.</w:t>
            </w:r>
          </w:p>
        </w:tc>
        <w:tc>
          <w:tcPr>
            <w:tcW w:w="158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United States Of</w:t>
            </w:r>
          </w:p>
        </w:tc>
        <w:tc>
          <w:tcPr>
            <w:tcW w:w="15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CID001142</w:t>
            </w:r>
          </w:p>
        </w:tc>
        <w:tc>
          <w:tcPr>
            <w:tcW w:w="18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Conformant</w:t>
            </w:r>
          </w:p>
        </w:tc>
      </w:tr>
      <w:tr>
        <w:trPr>
          <w:trHeight w:val="291"/>
        </w:trPr>
        <w:tc>
          <w:tcPr>
            <w:tcW w:w="1300" w:type="dxa"/>
            <w:vAlign w:val="bottom"/>
            <w:tcBorders>
              <w:left w:val="single" w:sz="8" w:color="auto"/>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America</w:t>
            </w:r>
          </w:p>
        </w:tc>
        <w:tc>
          <w:tcPr>
            <w:tcW w:w="15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Mineracao Taboca S.A.</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Brazil</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CID001173</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1"/>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Minsur</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Peru</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CID001182</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Mitsubishi Materials Corporation</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Japan</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CID001191</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6"/>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PT Artha Cipta Langgeng</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Indonesia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CID001399</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Active</w:t>
            </w:r>
          </w:p>
        </w:tc>
      </w:tr>
      <w:tr>
        <w:trPr>
          <w:trHeight w:val="285"/>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PT Timah Tbk Kundur</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Indonesia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CID001477</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PT Timah Tbk Mentok</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Indonesia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CID001482</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Thaisarco</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Thailand</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CID001898</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PT ATD Makmur Mandiri Jaya</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Indonesia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CID002503</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1"/>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Chifeng Dajingzi Tin Industry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CID003190</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CRM Synergies</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Spain</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CID003524</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43"/>
        </w:trPr>
        <w:tc>
          <w:tcPr>
            <w:tcW w:w="130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Mining Minerals Resources SARL</w:t>
            </w:r>
          </w:p>
        </w:tc>
        <w:tc>
          <w:tcPr>
            <w:tcW w:w="158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Congo,</w:t>
            </w:r>
          </w:p>
        </w:tc>
        <w:tc>
          <w:tcPr>
            <w:tcW w:w="15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CID004065</w:t>
            </w:r>
          </w:p>
        </w:tc>
        <w:tc>
          <w:tcPr>
            <w:tcW w:w="18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Conformant</w:t>
            </w:r>
          </w:p>
        </w:tc>
      </w:tr>
      <w:tr>
        <w:trPr>
          <w:trHeight w:val="243"/>
        </w:trPr>
        <w:tc>
          <w:tcPr>
            <w:tcW w:w="1300" w:type="dxa"/>
            <w:vAlign w:val="bottom"/>
            <w:tcBorders>
              <w:left w:val="single" w:sz="8" w:color="auto"/>
              <w:right w:val="single" w:sz="8" w:color="auto"/>
            </w:tcBorders>
          </w:tcPr>
          <w:p>
            <w:pPr>
              <w:spacing w:after="0"/>
              <w:rPr>
                <w:sz w:val="21"/>
                <w:szCs w:val="21"/>
                <w:color w:val="auto"/>
              </w:rPr>
            </w:pPr>
          </w:p>
        </w:tc>
        <w:tc>
          <w:tcPr>
            <w:tcW w:w="496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Democratic</w:t>
            </w:r>
          </w:p>
        </w:tc>
        <w:tc>
          <w:tcPr>
            <w:tcW w:w="15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r>
      <w:tr>
        <w:trPr>
          <w:trHeight w:val="291"/>
        </w:trPr>
        <w:tc>
          <w:tcPr>
            <w:tcW w:w="1300" w:type="dxa"/>
            <w:vAlign w:val="bottom"/>
            <w:tcBorders>
              <w:left w:val="single" w:sz="8" w:color="auto"/>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Republic Of The</w:t>
            </w:r>
          </w:p>
        </w:tc>
        <w:tc>
          <w:tcPr>
            <w:tcW w:w="15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Yunnan Chengfeng Non-ferrous Metals Co., Ltd.</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CID002158</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Non Conformant</w:t>
            </w:r>
          </w:p>
        </w:tc>
      </w:tr>
      <w:tr>
        <w:trPr>
          <w:trHeight w:val="290"/>
        </w:trPr>
        <w:tc>
          <w:tcPr>
            <w:tcW w:w="1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Gold</w:t>
            </w:r>
          </w:p>
        </w:tc>
        <w:tc>
          <w:tcPr>
            <w:tcW w:w="4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Metalor Technologies S.A.</w:t>
            </w: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Switzerland</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CID001153</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Conformant</w:t>
            </w:r>
          </w:p>
        </w:tc>
      </w:tr>
      <w:tr>
        <w:trPr>
          <w:trHeight w:val="243"/>
        </w:trPr>
        <w:tc>
          <w:tcPr>
            <w:tcW w:w="130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Gold</w:t>
            </w:r>
          </w:p>
        </w:tc>
        <w:tc>
          <w:tcPr>
            <w:tcW w:w="49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United Precious Metal Refining, Inc.</w:t>
            </w:r>
          </w:p>
        </w:tc>
        <w:tc>
          <w:tcPr>
            <w:tcW w:w="158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United States Of</w:t>
            </w:r>
          </w:p>
        </w:tc>
        <w:tc>
          <w:tcPr>
            <w:tcW w:w="15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CID001993</w:t>
            </w:r>
          </w:p>
        </w:tc>
        <w:tc>
          <w:tcPr>
            <w:tcW w:w="186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Conformant</w:t>
            </w:r>
          </w:p>
        </w:tc>
      </w:tr>
      <w:tr>
        <w:trPr>
          <w:trHeight w:val="291"/>
        </w:trPr>
        <w:tc>
          <w:tcPr>
            <w:tcW w:w="1300" w:type="dxa"/>
            <w:vAlign w:val="bottom"/>
            <w:tcBorders>
              <w:left w:val="single" w:sz="8" w:color="auto"/>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America</w:t>
            </w:r>
          </w:p>
        </w:tc>
        <w:tc>
          <w:tcPr>
            <w:tcW w:w="15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60"/>
          </w:cols>
          <w:pgMar w:left="320" w:top="1440" w:right="31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Appendix B: Countries of Origin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Includes: list of countries that declared smelters are known to source from.</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Andorra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Ghana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Papua New Guinea</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Angola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Guatemala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Peru</w:t>
            </w:r>
          </w:p>
        </w:tc>
      </w:tr>
      <w:tr>
        <w:trPr>
          <w:trHeight w:val="283"/>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Argentina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Guinea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Philippines</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Australia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Guyana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Poland</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Austria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Hong Kong</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Portugal</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Belgium</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Hungary</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Russian Federation</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Benin</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India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Rwanda</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Bolivia (Plurinational State of)</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Indonesia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Sierra Leone</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Brazil</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Ireland</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Singapore</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Burkina Faso</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Israel</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Slovakia</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Burundi</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Japan</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South Sudan</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Cambodia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Kazakhstan</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Spain</w:t>
            </w:r>
          </w:p>
        </w:tc>
      </w:tr>
      <w:tr>
        <w:trPr>
          <w:trHeight w:val="310"/>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Canada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Korea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Sudan</w:t>
            </w:r>
          </w:p>
        </w:tc>
      </w:tr>
      <w:tr>
        <w:trPr>
          <w:trHeight w:val="284"/>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Chile</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Luxembourg</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Suriname</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China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Madagascar</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Sweden</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Colombia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Malaysia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Switzerland</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Congo</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Mexico</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Taiwan</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Democratic Republic of Congo</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Mongolia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Tanzania</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Djibouti</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Morocco</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Thailand</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Ecuador</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Myanmar</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Uganda</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Egypt</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Namibia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Eritrea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Netherlands</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United States</w:t>
            </w:r>
          </w:p>
        </w:tc>
      </w:tr>
      <w:tr>
        <w:trPr>
          <w:trHeight w:val="310"/>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Estonia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Niger</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Viet Nam</w:t>
            </w:r>
          </w:p>
        </w:tc>
      </w:tr>
      <w:tr>
        <w:trPr>
          <w:trHeight w:val="283"/>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Ethiopia</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Nigeria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Zambia</w:t>
            </w:r>
          </w:p>
        </w:tc>
      </w:tr>
      <w:tr>
        <w:trPr>
          <w:trHeight w:val="310"/>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France</w:t>
            </w:r>
          </w:p>
        </w:tc>
        <w:tc>
          <w:tcPr>
            <w:tcW w:w="29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Panama</w:t>
            </w:r>
          </w:p>
        </w:tc>
        <w:tc>
          <w:tcPr>
            <w:tcW w:w="294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Zimbabwe</w:t>
            </w:r>
          </w:p>
        </w:tc>
      </w:tr>
      <w:tr>
        <w:trPr>
          <w:trHeight w:val="284"/>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Germany</w:t>
            </w:r>
          </w:p>
        </w:tc>
        <w:tc>
          <w:tcPr>
            <w:tcW w:w="296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2026-05-29T16:50:42Z</dcterms:created>
  <dcterms:modified xsi:type="dcterms:W3CDTF">2026-05-29T16:50:42Z</dcterms:modified>
</cp:coreProperties>
</file>